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media/rId27.png" ContentType="image/png"/>
  <Override PartName="/word/media/rId77.png" ContentType="image/png"/>
  <Override PartName="/word/media/rId81.png" ContentType="image/png"/>
  <Override PartName="/word/media/rId34.png" ContentType="image/png"/>
  <Override PartName="/word/media/rId38.png" ContentType="image/png"/>
  <Override PartName="/word/media/rId47.png" ContentType="image/png"/>
  <Override PartName="/word/media/rId51.png" ContentType="image/png"/>
  <Override PartName="/word/media/rId55.png" ContentType="image/png"/>
  <Override PartName="/word/media/rId59.png" ContentType="image/png"/>
  <Override PartName="/word/media/rId63.png" ContentType="image/png"/>
  <Override PartName="/word/media/rId86.png" ContentType="image/png"/>
  <Override PartName="/word/media/image1.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tulo"/>
      </w:pPr>
      <w:r>
        <w:t xml:space="preserve">Relatório</w:t>
      </w:r>
    </w:p>
    <w:bookmarkStart w:id="23" w:name="introdução"/>
    <w:p>
      <w:pPr>
        <w:pStyle w:val="Ttulo2"/>
      </w:pPr>
      <w:r>
        <w:t xml:space="preserve">Introdução</w:t>
      </w:r>
    </w:p>
    <w:p>
      <w:pPr>
        <w:pStyle w:val="FirstParagraph"/>
      </w:pPr>
      <w:r>
        <w:t xml:space="preserve">TODO</w:t>
      </w:r>
    </w:p>
    <w:bookmarkStart w:id="20" w:name="referencial-teórico"/>
    <w:p>
      <w:pPr>
        <w:pStyle w:val="Ttulo3"/>
      </w:pPr>
      <w:r>
        <w:t xml:space="preserve">Referencial teórico</w:t>
      </w:r>
    </w:p>
    <w:p>
      <w:pPr>
        <w:pStyle w:val="FirstParagraph"/>
      </w:pPr>
      <w:r>
        <w:t xml:space="preserve">TODO</w:t>
      </w:r>
    </w:p>
    <w:bookmarkEnd w:id="20"/>
    <w:bookmarkStart w:id="21" w:name="objetivos"/>
    <w:p>
      <w:pPr>
        <w:pStyle w:val="Ttulo3"/>
      </w:pPr>
      <w:r>
        <w:t xml:space="preserve">Objetivos</w:t>
      </w:r>
    </w:p>
    <w:p>
      <w:pPr>
        <w:pStyle w:val="FirstParagraph"/>
      </w:pPr>
      <w:r>
        <w:t xml:space="preserve">O objetivo principal da pesquisa é descrever quantitativamente os conflitos relacionados ao Direito do Consumidor no estado de São Paulo. Especificamente, desejamos:</w:t>
      </w:r>
    </w:p>
    <w:p>
      <w:pPr>
        <w:numPr>
          <w:ilvl w:val="0"/>
          <w:numId w:val="1001"/>
        </w:numPr>
        <w:pStyle w:val="Compact"/>
      </w:pPr>
      <w:r>
        <w:t xml:space="preserve">Comparar características de interesse nas reclamações extrajudiciais e processos judiciais, como volume, localização, tempo e taxa de resolução;</w:t>
      </w:r>
    </w:p>
    <w:p>
      <w:pPr>
        <w:numPr>
          <w:ilvl w:val="0"/>
          <w:numId w:val="1001"/>
        </w:numPr>
        <w:pStyle w:val="Compact"/>
      </w:pPr>
      <w:r>
        <w:t xml:space="preserve">Elaborar um diagnóstico quantitativo da situação do direito do consumidor no estado de São Paulo.</w:t>
      </w:r>
    </w:p>
    <w:p>
      <w:pPr>
        <w:numPr>
          <w:ilvl w:val="0"/>
          <w:numId w:val="1001"/>
        </w:numPr>
        <w:pStyle w:val="Compact"/>
      </w:pPr>
      <w:r>
        <w:t xml:space="preserve">Mostrar o potencial da jurimetria para identificar gargalos no sistema judiciário para propor políticas públicas.</w:t>
      </w:r>
    </w:p>
    <w:bookmarkEnd w:id="21"/>
    <w:bookmarkStart w:id="22" w:name="questões-norteadoras-da-pesquisa"/>
    <w:p>
      <w:pPr>
        <w:pStyle w:val="Ttulo3"/>
      </w:pPr>
      <w:r>
        <w:t xml:space="preserve">Questões norteadoras da pesquisa</w:t>
      </w:r>
    </w:p>
    <w:p>
      <w:pPr>
        <w:pStyle w:val="FirstParagraph"/>
      </w:pPr>
      <w:r>
        <w:t xml:space="preserve">Considerando o referencial teórico</w:t>
      </w:r>
    </w:p>
    <w:p>
      <w:pPr>
        <w:numPr>
          <w:ilvl w:val="0"/>
          <w:numId w:val="1002"/>
        </w:numPr>
        <w:pStyle w:val="Compact"/>
      </w:pPr>
      <w:r>
        <w:t xml:space="preserve">Como se distribuem regionalmente as reclamações e processos no estado de São Paulo?</w:t>
      </w:r>
    </w:p>
    <w:p>
      <w:pPr>
        <w:numPr>
          <w:ilvl w:val="0"/>
          <w:numId w:val="1002"/>
        </w:numPr>
        <w:pStyle w:val="Compact"/>
      </w:pPr>
      <w:r>
        <w:t xml:space="preserve">Quais são os principais assuntos discutidos nas reclamações e processos?</w:t>
      </w:r>
    </w:p>
    <w:p>
      <w:pPr>
        <w:numPr>
          <w:ilvl w:val="0"/>
          <w:numId w:val="1002"/>
        </w:numPr>
        <w:pStyle w:val="Compact"/>
      </w:pPr>
      <w:r>
        <w:t xml:space="preserve">Houve algum impacto da pandemia na quantidade de reclamações e processos?</w:t>
      </w:r>
    </w:p>
    <w:p>
      <w:pPr>
        <w:numPr>
          <w:ilvl w:val="0"/>
          <w:numId w:val="1002"/>
        </w:numPr>
        <w:pStyle w:val="Compact"/>
      </w:pPr>
      <w:r>
        <w:t xml:space="preserve">Quais são os maiores litigantes e tipos empresariais mais comuns nas reclamações e processos?</w:t>
      </w:r>
    </w:p>
    <w:p>
      <w:pPr>
        <w:numPr>
          <w:ilvl w:val="0"/>
          <w:numId w:val="1002"/>
        </w:numPr>
        <w:pStyle w:val="Compact"/>
      </w:pPr>
      <w:r>
        <w:t xml:space="preserve">Qual é a taxa de resolução de conflitos nas reclamações e processos?</w:t>
      </w:r>
    </w:p>
    <w:p>
      <w:pPr>
        <w:numPr>
          <w:ilvl w:val="0"/>
          <w:numId w:val="1002"/>
        </w:numPr>
        <w:pStyle w:val="Compact"/>
      </w:pPr>
      <w:r>
        <w:t xml:space="preserve">Qual é o tempo típico de duração das reclamações e processos?</w:t>
      </w:r>
    </w:p>
    <w:bookmarkEnd w:id="22"/>
    <w:bookmarkEnd w:id="23"/>
    <w:bookmarkStart w:id="33" w:name="metodologia"/>
    <w:p>
      <w:pPr>
        <w:pStyle w:val="Ttulo2"/>
      </w:pPr>
      <w:r>
        <w:t xml:space="preserve">Metodologia</w:t>
      </w:r>
    </w:p>
    <w:p>
      <w:pPr>
        <w:pStyle w:val="FirstParagraph"/>
      </w:pPr>
      <w:r>
        <w:t xml:space="preserve">A pesquisa tem como objetivo principal analisar as diferentes formas que os conflitos consumeristas aparecem no mundo real. Para a parte empírica da pesquisa, no entanto, temos de fazer um recorte daquilo que não apenas é real, como também está disponível publicamente.</w:t>
      </w:r>
    </w:p>
    <w:p>
      <w:pPr>
        <w:pStyle w:val="Corpodetexto"/>
      </w:pPr>
      <w:r>
        <w:t xml:space="preserve">Nem todos os conflitos são registrados em bases públicas. Em algumas situações, os conflitos são registrados nos Serviços de Atendimento ao Cliente (SACs). Em outras situações, os conflitos são registrados em plataformas privadas, como o Reclame Aqui. Por esse motivo, vamos analisamos apenas os registros de conflitos que ficam registradas em plataformas dos poderes Judicário ou Executivo.</w:t>
      </w:r>
    </w:p>
    <w:p>
      <w:pPr>
        <w:pStyle w:val="Corpodetexto"/>
      </w:pPr>
      <w:r>
        <w:t xml:space="preserve">O fato de uma informação ser pública não significa que ela é diretamente acessível. Isso está relacionado com o conceito de transparância: as entidades que organizam os dados de interesse nem sempre disponibilizam os dados de forma</w:t>
      </w:r>
      <w:r>
        <w:t xml:space="preserve"> </w:t>
      </w:r>
      <w:r>
        <w:rPr>
          <w:bCs/>
          <w:b/>
        </w:rPr>
        <w:t xml:space="preserve">ativa</w:t>
      </w:r>
      <w:r>
        <w:t xml:space="preserve">, apenas de forma</w:t>
      </w:r>
      <w:r>
        <w:t xml:space="preserve"> </w:t>
      </w:r>
      <w:r>
        <w:rPr>
          <w:bCs/>
          <w:b/>
        </w:rPr>
        <w:t xml:space="preserve">passiva</w:t>
      </w:r>
      <w:r>
        <w:t xml:space="preserve">. Quando uma entidade pública segue os princípios de transparência ativa, ela disponibiliza os dados em formato aberto. Do contrário, quando a entidade não disponibiliza os dados em formato aberto, ela ainda assim deve seguir os princípios de transparência ativa, conforme a Lei de Acesso à Informação (Lei 12.527/2011, LAI).</w:t>
      </w:r>
    </w:p>
    <w:p>
      <w:pPr>
        <w:pStyle w:val="Corpodetexto"/>
      </w:pPr>
      <w:r>
        <w:t xml:space="preserve">A LAI permite que qualquer cidadão possa solicitar uma informação pública a qualquer entidade que faz parte do governo. A entidade tem o prazo de 20 dias para responder a solicitação. A resposta pode ser positiva ou negativa. Se a resposta for positiva, a entidade deve disponibilizar os dados em formato aberto. Se a resposta for negativa, a entidade deve justificar o motivo da negativa. Se a entidade não responder a solicitação, ela está sujeita a sanções administrativas e judiciais.</w:t>
      </w:r>
    </w:p>
    <w:p>
      <w:pPr>
        <w:pStyle w:val="Corpodetexto"/>
      </w:pPr>
      <w:r>
        <w:t xml:space="preserve">Como é possível notar, o uso da LAI pode ser bastante burocrático. É possível que o acesso aos dados demore meses, a depender da comunicação com o órgão. Em alguns casos, mesmo depois de muito tempo de espera, os dados acabam não sendo disponibilizados, por incapacidade técnica do órgão que detém acesso aos dados.</w:t>
      </w:r>
    </w:p>
    <w:p>
      <w:pPr>
        <w:pStyle w:val="Corpodetexto"/>
      </w:pPr>
      <w:r>
        <w:t xml:space="preserve">Por esse motivo, optamos, nesta pesquisa, por não utilizar a LAI. Vamos considerar apenas dados disponíveis publicamente em formato aberto ou dados públicos que podem ser acessados por mecanismos automatizados, como ferramentas de raspagem de dados (</w:t>
      </w:r>
      <w:r>
        <w:rPr>
          <w:iCs/>
          <w:i/>
        </w:rPr>
        <w:t xml:space="preserve">web scraping</w:t>
      </w:r>
      <w:r>
        <w:t xml:space="preserve">).</w:t>
      </w:r>
    </w:p>
    <w:p>
      <w:pPr>
        <w:pStyle w:val="Corpodetexto"/>
      </w:pPr>
      <w:r>
        <w:t xml:space="preserve">Feita essa ressalva, passamos a descrever as bases de dados utilizadas na pesquisa. Consideramos quatro bases de dados no total:</w:t>
      </w:r>
    </w:p>
    <w:p>
      <w:pPr>
        <w:numPr>
          <w:ilvl w:val="0"/>
          <w:numId w:val="1003"/>
        </w:numPr>
        <w:pStyle w:val="Compact"/>
      </w:pPr>
      <w:r>
        <w:t xml:space="preserve">Dados do Consumidor.gov.br, vinculado ao Ministério da Justiça (MJ),</w:t>
      </w:r>
    </w:p>
    <w:p>
      <w:pPr>
        <w:numPr>
          <w:ilvl w:val="0"/>
          <w:numId w:val="1003"/>
        </w:numPr>
        <w:pStyle w:val="Compact"/>
      </w:pPr>
      <w:r>
        <w:t xml:space="preserve">Dados do Sistema Nacional de Informações de Defesa do Consumidor (SINDEC), também vinculado ao MJ.</w:t>
      </w:r>
    </w:p>
    <w:p>
      <w:pPr>
        <w:numPr>
          <w:ilvl w:val="0"/>
          <w:numId w:val="1003"/>
        </w:numPr>
        <w:pStyle w:val="Compact"/>
      </w:pPr>
      <w:r>
        <w:t xml:space="preserve">Dados da consulta de sentenças do Tribunal de Justiça de São Paulo (TJSP)</w:t>
      </w:r>
    </w:p>
    <w:p>
      <w:pPr>
        <w:numPr>
          <w:ilvl w:val="0"/>
          <w:numId w:val="1003"/>
        </w:numPr>
        <w:pStyle w:val="Compact"/>
      </w:pPr>
      <w:r>
        <w:t xml:space="preserve">Dados da consulta de processos do TJSP, feita por amostragem.</w:t>
      </w:r>
    </w:p>
    <w:p>
      <w:pPr>
        <w:pStyle w:val="FirstParagraph"/>
      </w:pPr>
      <w:r>
        <w:t xml:space="preserve">A base do</w:t>
      </w:r>
      <w:r>
        <w:t xml:space="preserve"> </w:t>
      </w:r>
      <w:hyperlink r:id="rId24">
        <w:r>
          <w:rPr>
            <w:rStyle w:val="Hyperlink"/>
          </w:rPr>
          <w:t xml:space="preserve">consumidor.gov.br</w:t>
        </w:r>
      </w:hyperlink>
      <w:r>
        <w:t xml:space="preserve"> </w:t>
      </w:r>
      <w:r>
        <w:t xml:space="preserve">pode ser acessada de forma aberta, diretamente pelo portal. Chamamos essa base de dados de</w:t>
      </w:r>
      <w:r>
        <w:t xml:space="preserve"> </w:t>
      </w:r>
      <w:r>
        <w:rPr>
          <w:bCs/>
          <w:b/>
        </w:rPr>
        <w:t xml:space="preserve">CGOV</w:t>
      </w:r>
      <w:r>
        <w:t xml:space="preserve">. Os dados são disponibilizados mês a mês. Consideramos todos os meses entre jan/2019 e dez/2023. No total, são 1.203.114 reclamações em São Paulo, com as seguintes informações:</w:t>
      </w:r>
    </w:p>
    <w:p>
      <w:pPr>
        <w:numPr>
          <w:ilvl w:val="0"/>
          <w:numId w:val="1004"/>
        </w:numPr>
        <w:pStyle w:val="Compact"/>
      </w:pPr>
      <w:r>
        <w:rPr>
          <w:bCs/>
          <w:b/>
        </w:rPr>
        <w:t xml:space="preserve">file</w:t>
      </w:r>
      <w:r>
        <w:t xml:space="preserve">: Caminho ou nome do arquivo de onde os dados foram extraídos.</w:t>
      </w:r>
    </w:p>
    <w:p>
      <w:pPr>
        <w:numPr>
          <w:ilvl w:val="0"/>
          <w:numId w:val="1004"/>
        </w:numPr>
        <w:pStyle w:val="Compact"/>
      </w:pPr>
      <w:r>
        <w:rPr>
          <w:bCs/>
          <w:b/>
        </w:rPr>
        <w:t xml:space="preserve">regiao</w:t>
      </w:r>
      <w:r>
        <w:t xml:space="preserve">: Região geográfica do Brasil à qual a reclamação está associada.</w:t>
      </w:r>
    </w:p>
    <w:p>
      <w:pPr>
        <w:numPr>
          <w:ilvl w:val="0"/>
          <w:numId w:val="1004"/>
        </w:numPr>
        <w:pStyle w:val="Compact"/>
      </w:pPr>
      <w:r>
        <w:rPr>
          <w:bCs/>
          <w:b/>
        </w:rPr>
        <w:t xml:space="preserve">uf</w:t>
      </w:r>
      <w:r>
        <w:t xml:space="preserve">: Sigla do estado brasileiro relacionado à reclamação.</w:t>
      </w:r>
    </w:p>
    <w:p>
      <w:pPr>
        <w:numPr>
          <w:ilvl w:val="0"/>
          <w:numId w:val="1004"/>
        </w:numPr>
        <w:pStyle w:val="Compact"/>
      </w:pPr>
      <w:r>
        <w:rPr>
          <w:bCs/>
          <w:b/>
        </w:rPr>
        <w:t xml:space="preserve">cidade</w:t>
      </w:r>
      <w:r>
        <w:t xml:space="preserve">: Nome da cidade onde o consumidor que fez a reclamação está localizado.</w:t>
      </w:r>
    </w:p>
    <w:p>
      <w:pPr>
        <w:numPr>
          <w:ilvl w:val="0"/>
          <w:numId w:val="1004"/>
        </w:numPr>
        <w:pStyle w:val="Compact"/>
      </w:pPr>
      <w:r>
        <w:rPr>
          <w:bCs/>
          <w:b/>
        </w:rPr>
        <w:t xml:space="preserve">sexo</w:t>
      </w:r>
      <w:r>
        <w:t xml:space="preserve">: Gênero do consumidor, podendo ser</w:t>
      </w:r>
      <w:r>
        <w:t xml:space="preserve"> </w:t>
      </w:r>
      <w:r>
        <w:t xml:space="preserve">“</w:t>
      </w:r>
      <w:r>
        <w:t xml:space="preserve">F</w:t>
      </w:r>
      <w:r>
        <w:t xml:space="preserve">”</w:t>
      </w:r>
      <w:r>
        <w:t xml:space="preserve"> </w:t>
      </w:r>
      <w:r>
        <w:t xml:space="preserve">para feminino ou</w:t>
      </w:r>
      <w:r>
        <w:t xml:space="preserve"> </w:t>
      </w:r>
      <w:r>
        <w:t xml:space="preserve">“</w:t>
      </w:r>
      <w:r>
        <w:t xml:space="preserve">M</w:t>
      </w:r>
      <w:r>
        <w:t xml:space="preserve">”</w:t>
      </w:r>
      <w:r>
        <w:t xml:space="preserve"> </w:t>
      </w:r>
      <w:r>
        <w:t xml:space="preserve">para masculino.</w:t>
      </w:r>
    </w:p>
    <w:p>
      <w:pPr>
        <w:numPr>
          <w:ilvl w:val="0"/>
          <w:numId w:val="1004"/>
        </w:numPr>
        <w:pStyle w:val="Compact"/>
      </w:pPr>
      <w:r>
        <w:rPr>
          <w:bCs/>
          <w:b/>
        </w:rPr>
        <w:t xml:space="preserve">faixa_etaria</w:t>
      </w:r>
      <w:r>
        <w:t xml:space="preserve">: Faixa etária do consumidor, categorizada em intervalos de idade.</w:t>
      </w:r>
    </w:p>
    <w:p>
      <w:pPr>
        <w:numPr>
          <w:ilvl w:val="0"/>
          <w:numId w:val="1004"/>
        </w:numPr>
        <w:pStyle w:val="Compact"/>
      </w:pPr>
      <w:r>
        <w:rPr>
          <w:bCs/>
          <w:b/>
        </w:rPr>
        <w:t xml:space="preserve">data_finalizacao</w:t>
      </w:r>
      <w:r>
        <w:t xml:space="preserve">: Data em que a reclamação foi finalizada.</w:t>
      </w:r>
    </w:p>
    <w:p>
      <w:pPr>
        <w:numPr>
          <w:ilvl w:val="0"/>
          <w:numId w:val="1004"/>
        </w:numPr>
        <w:pStyle w:val="Compact"/>
      </w:pPr>
      <w:r>
        <w:rPr>
          <w:bCs/>
          <w:b/>
        </w:rPr>
        <w:t xml:space="preserve">tempo_resposta</w:t>
      </w:r>
      <w:r>
        <w:t xml:space="preserve">: Tempo que a empresa levou para responder à reclamação, expresso em dias.</w:t>
      </w:r>
    </w:p>
    <w:p>
      <w:pPr>
        <w:numPr>
          <w:ilvl w:val="0"/>
          <w:numId w:val="1004"/>
        </w:numPr>
        <w:pStyle w:val="Compact"/>
      </w:pPr>
      <w:r>
        <w:rPr>
          <w:bCs/>
          <w:b/>
        </w:rPr>
        <w:t xml:space="preserve">nome_fantasia</w:t>
      </w:r>
      <w:r>
        <w:t xml:space="preserve">: Nome fantasia da empresa contra a qual a reclamação foi feita.</w:t>
      </w:r>
    </w:p>
    <w:p>
      <w:pPr>
        <w:numPr>
          <w:ilvl w:val="0"/>
          <w:numId w:val="1004"/>
        </w:numPr>
        <w:pStyle w:val="Compact"/>
      </w:pPr>
      <w:r>
        <w:rPr>
          <w:bCs/>
          <w:b/>
        </w:rPr>
        <w:t xml:space="preserve">segmento_de_mercado</w:t>
      </w:r>
      <w:r>
        <w:t xml:space="preserve">: Categoria que indica o segmento de mercado ao qual a empresa pertence.</w:t>
      </w:r>
    </w:p>
    <w:p>
      <w:pPr>
        <w:numPr>
          <w:ilvl w:val="0"/>
          <w:numId w:val="1004"/>
        </w:numPr>
        <w:pStyle w:val="Compact"/>
      </w:pPr>
      <w:r>
        <w:rPr>
          <w:bCs/>
          <w:b/>
        </w:rPr>
        <w:t xml:space="preserve">area</w:t>
      </w:r>
      <w:r>
        <w:t xml:space="preserve">: Área de atuação da empresa dentro do contexto da reclamação.</w:t>
      </w:r>
    </w:p>
    <w:p>
      <w:pPr>
        <w:numPr>
          <w:ilvl w:val="0"/>
          <w:numId w:val="1004"/>
        </w:numPr>
        <w:pStyle w:val="Compact"/>
      </w:pPr>
      <w:r>
        <w:rPr>
          <w:bCs/>
          <w:b/>
        </w:rPr>
        <w:t xml:space="preserve">assunto</w:t>
      </w:r>
      <w:r>
        <w:t xml:space="preserve">: Tema central ou assunto principal da reclamação.</w:t>
      </w:r>
    </w:p>
    <w:p>
      <w:pPr>
        <w:numPr>
          <w:ilvl w:val="0"/>
          <w:numId w:val="1004"/>
        </w:numPr>
        <w:pStyle w:val="Compact"/>
      </w:pPr>
      <w:r>
        <w:rPr>
          <w:bCs/>
          <w:b/>
        </w:rPr>
        <w:t xml:space="preserve">grupo_problema</w:t>
      </w:r>
      <w:r>
        <w:t xml:space="preserve">: Categoria que agrupa o tipo de problema relatado na reclamação.</w:t>
      </w:r>
    </w:p>
    <w:p>
      <w:pPr>
        <w:numPr>
          <w:ilvl w:val="0"/>
          <w:numId w:val="1004"/>
        </w:numPr>
        <w:pStyle w:val="Compact"/>
      </w:pPr>
      <w:r>
        <w:rPr>
          <w:bCs/>
          <w:b/>
        </w:rPr>
        <w:t xml:space="preserve">problema</w:t>
      </w:r>
      <w:r>
        <w:t xml:space="preserve">: Descrição detalhada do problema relatado pelo consumidor.</w:t>
      </w:r>
    </w:p>
    <w:p>
      <w:pPr>
        <w:numPr>
          <w:ilvl w:val="0"/>
          <w:numId w:val="1004"/>
        </w:numPr>
        <w:pStyle w:val="Compact"/>
      </w:pPr>
      <w:r>
        <w:rPr>
          <w:bCs/>
          <w:b/>
        </w:rPr>
        <w:t xml:space="preserve">como_comprou_contratou</w:t>
      </w:r>
      <w:r>
        <w:t xml:space="preserve">: Meio pelo qual o consumidor adquiriu o produto ou serviço, podendo ser por telefone, internet, entre outros.</w:t>
      </w:r>
    </w:p>
    <w:p>
      <w:pPr>
        <w:numPr>
          <w:ilvl w:val="0"/>
          <w:numId w:val="1004"/>
        </w:numPr>
        <w:pStyle w:val="Compact"/>
      </w:pPr>
      <w:r>
        <w:rPr>
          <w:bCs/>
          <w:b/>
        </w:rPr>
        <w:t xml:space="preserve">procurou_empresa</w:t>
      </w:r>
      <w:r>
        <w:t xml:space="preserve">: Indica se o consumidor tentou resolver o problema diretamente com a empresa antes de registrar a reclamação, sendo</w:t>
      </w:r>
      <w:r>
        <w:t xml:space="preserve"> </w:t>
      </w:r>
      <w:r>
        <w:t xml:space="preserve">“</w:t>
      </w:r>
      <w:r>
        <w:t xml:space="preserve">S</w:t>
      </w:r>
      <w:r>
        <w:t xml:space="preserve">”</w:t>
      </w:r>
      <w:r>
        <w:t xml:space="preserve"> </w:t>
      </w:r>
      <w:r>
        <w:t xml:space="preserve">para sim e</w:t>
      </w:r>
      <w:r>
        <w:t xml:space="preserve"> </w:t>
      </w:r>
      <w:r>
        <w:t xml:space="preserve">“</w:t>
      </w:r>
      <w:r>
        <w:t xml:space="preserve">N</w:t>
      </w:r>
      <w:r>
        <w:t xml:space="preserve">”</w:t>
      </w:r>
      <w:r>
        <w:t xml:space="preserve"> </w:t>
      </w:r>
      <w:r>
        <w:t xml:space="preserve">para não.</w:t>
      </w:r>
    </w:p>
    <w:p>
      <w:pPr>
        <w:numPr>
          <w:ilvl w:val="0"/>
          <w:numId w:val="1004"/>
        </w:numPr>
        <w:pStyle w:val="Compact"/>
      </w:pPr>
      <w:r>
        <w:rPr>
          <w:bCs/>
          <w:b/>
        </w:rPr>
        <w:t xml:space="preserve">respondida</w:t>
      </w:r>
      <w:r>
        <w:t xml:space="preserve">: Informa se a reclamação recebeu uma resposta da empresa, sendo</w:t>
      </w:r>
      <w:r>
        <w:t xml:space="preserve"> </w:t>
      </w:r>
      <w:r>
        <w:t xml:space="preserve">“</w:t>
      </w:r>
      <w:r>
        <w:t xml:space="preserve">S</w:t>
      </w:r>
      <w:r>
        <w:t xml:space="preserve">”</w:t>
      </w:r>
      <w:r>
        <w:t xml:space="preserve"> </w:t>
      </w:r>
      <w:r>
        <w:t xml:space="preserve">para sim e</w:t>
      </w:r>
      <w:r>
        <w:t xml:space="preserve"> </w:t>
      </w:r>
      <w:r>
        <w:t xml:space="preserve">“</w:t>
      </w:r>
      <w:r>
        <w:t xml:space="preserve">N</w:t>
      </w:r>
      <w:r>
        <w:t xml:space="preserve">”</w:t>
      </w:r>
      <w:r>
        <w:t xml:space="preserve"> </w:t>
      </w:r>
      <w:r>
        <w:t xml:space="preserve">para não.</w:t>
      </w:r>
    </w:p>
    <w:p>
      <w:pPr>
        <w:numPr>
          <w:ilvl w:val="0"/>
          <w:numId w:val="1004"/>
        </w:numPr>
        <w:pStyle w:val="Compact"/>
      </w:pPr>
      <w:r>
        <w:rPr>
          <w:bCs/>
          <w:b/>
        </w:rPr>
        <w:t xml:space="preserve">situacao</w:t>
      </w:r>
      <w:r>
        <w:t xml:space="preserve">: Situação final da reclamação, indicando se foi resolvida ou não, e como foi avaliada pelo consumidor.</w:t>
      </w:r>
    </w:p>
    <w:p>
      <w:pPr>
        <w:numPr>
          <w:ilvl w:val="0"/>
          <w:numId w:val="1004"/>
        </w:numPr>
        <w:pStyle w:val="Compact"/>
      </w:pPr>
      <w:r>
        <w:rPr>
          <w:bCs/>
          <w:b/>
        </w:rPr>
        <w:t xml:space="preserve">avaliacao_reclamacao</w:t>
      </w:r>
      <w:r>
        <w:t xml:space="preserve">: Avaliação do consumidor em relação ao atendimento recebido e à solução do problema.</w:t>
      </w:r>
    </w:p>
    <w:p>
      <w:pPr>
        <w:numPr>
          <w:ilvl w:val="0"/>
          <w:numId w:val="1004"/>
        </w:numPr>
        <w:pStyle w:val="Compact"/>
      </w:pPr>
      <w:r>
        <w:rPr>
          <w:bCs/>
          <w:b/>
        </w:rPr>
        <w:t xml:space="preserve">nota_do_consumidor</w:t>
      </w:r>
      <w:r>
        <w:t xml:space="preserve">: Nota atribuída pelo consumidor à empresa, geralmente em uma escala de 1 a 5.</w:t>
      </w:r>
    </w:p>
    <w:p>
      <w:pPr>
        <w:numPr>
          <w:ilvl w:val="0"/>
          <w:numId w:val="1004"/>
        </w:numPr>
        <w:pStyle w:val="Compact"/>
      </w:pPr>
      <w:r>
        <w:rPr>
          <w:bCs/>
          <w:b/>
        </w:rPr>
        <w:t xml:space="preserve">total</w:t>
      </w:r>
      <w:r>
        <w:t xml:space="preserve">: Valor numérico associado à reclamação, cujo significado específico não está claro sem informações adicionais.</w:t>
      </w:r>
    </w:p>
    <w:p>
      <w:pPr>
        <w:pStyle w:val="FirstParagraph"/>
      </w:pPr>
      <w:r>
        <w:t xml:space="preserve">A base do</w:t>
      </w:r>
      <w:r>
        <w:t xml:space="preserve"> </w:t>
      </w:r>
      <w:hyperlink r:id="rId25">
        <w:r>
          <w:rPr>
            <w:rStyle w:val="Hyperlink"/>
          </w:rPr>
          <w:t xml:space="preserve">SINDEC</w:t>
        </w:r>
      </w:hyperlink>
      <w:r>
        <w:t xml:space="preserve"> </w:t>
      </w:r>
      <w:r>
        <w:t xml:space="preserve">contém o registro de todos os atendimentos de consumidores nos Procons. Considerando somente o estado de São Paulo, são 2.347.020 atendimentos, com as seguintes informações:</w:t>
      </w:r>
    </w:p>
    <w:p>
      <w:pPr>
        <w:numPr>
          <w:ilvl w:val="0"/>
          <w:numId w:val="1005"/>
        </w:numPr>
        <w:pStyle w:val="Compact"/>
      </w:pPr>
      <w:r>
        <w:rPr>
          <w:bCs/>
          <w:b/>
        </w:rPr>
        <w:t xml:space="preserve">file</w:t>
      </w:r>
      <w:r>
        <w:t xml:space="preserve">: Caminho ou nome do arquivo de onde os dados foram extraídos.</w:t>
      </w:r>
    </w:p>
    <w:p>
      <w:pPr>
        <w:numPr>
          <w:ilvl w:val="0"/>
          <w:numId w:val="1005"/>
        </w:numPr>
        <w:pStyle w:val="Compact"/>
      </w:pPr>
      <w:r>
        <w:rPr>
          <w:bCs/>
          <w:b/>
        </w:rPr>
        <w:t xml:space="preserve">ano_atendimento</w:t>
      </w:r>
      <w:r>
        <w:t xml:space="preserve">: Ano em que o atendimento ao consumidor foi registrado.</w:t>
      </w:r>
    </w:p>
    <w:p>
      <w:pPr>
        <w:numPr>
          <w:ilvl w:val="0"/>
          <w:numId w:val="1005"/>
        </w:numPr>
        <w:pStyle w:val="Compact"/>
      </w:pPr>
      <w:r>
        <w:rPr>
          <w:bCs/>
          <w:b/>
        </w:rPr>
        <w:t xml:space="preserve">trimestre_atendimento</w:t>
      </w:r>
      <w:r>
        <w:t xml:space="preserve">: Trimestre do ano em que o atendimento foi realizado.</w:t>
      </w:r>
    </w:p>
    <w:p>
      <w:pPr>
        <w:numPr>
          <w:ilvl w:val="0"/>
          <w:numId w:val="1005"/>
        </w:numPr>
        <w:pStyle w:val="Compact"/>
      </w:pPr>
      <w:r>
        <w:rPr>
          <w:bCs/>
          <w:b/>
        </w:rPr>
        <w:t xml:space="preserve">mes_atendimento</w:t>
      </w:r>
      <w:r>
        <w:t xml:space="preserve">: Mês do ano em que o atendimento ao consumidor foi registrado.</w:t>
      </w:r>
    </w:p>
    <w:p>
      <w:pPr>
        <w:numPr>
          <w:ilvl w:val="0"/>
          <w:numId w:val="1005"/>
        </w:numPr>
        <w:pStyle w:val="Compact"/>
      </w:pPr>
      <w:r>
        <w:rPr>
          <w:bCs/>
          <w:b/>
        </w:rPr>
        <w:t xml:space="preserve">data_atendimento</w:t>
      </w:r>
      <w:r>
        <w:t xml:space="preserve">: Data e hora exatas em que o atendimento foi realizado.</w:t>
      </w:r>
    </w:p>
    <w:p>
      <w:pPr>
        <w:numPr>
          <w:ilvl w:val="0"/>
          <w:numId w:val="1005"/>
        </w:numPr>
        <w:pStyle w:val="Compact"/>
      </w:pPr>
      <w:r>
        <w:rPr>
          <w:bCs/>
          <w:b/>
        </w:rPr>
        <w:t xml:space="preserve">codigo_regiao</w:t>
      </w:r>
      <w:r>
        <w:t xml:space="preserve">: Código numérico que representa a região geográfica do Brasil associada ao atendimento.</w:t>
      </w:r>
    </w:p>
    <w:p>
      <w:pPr>
        <w:numPr>
          <w:ilvl w:val="0"/>
          <w:numId w:val="1005"/>
        </w:numPr>
        <w:pStyle w:val="Compact"/>
      </w:pPr>
      <w:r>
        <w:rPr>
          <w:bCs/>
          <w:b/>
        </w:rPr>
        <w:t xml:space="preserve">regiao</w:t>
      </w:r>
      <w:r>
        <w:t xml:space="preserve">: Nome da região geográfica do Brasil à qual o atendimento está associado.</w:t>
      </w:r>
    </w:p>
    <w:p>
      <w:pPr>
        <w:numPr>
          <w:ilvl w:val="0"/>
          <w:numId w:val="1005"/>
        </w:numPr>
        <w:pStyle w:val="Compact"/>
      </w:pPr>
      <w:r>
        <w:rPr>
          <w:bCs/>
          <w:b/>
        </w:rPr>
        <w:t xml:space="preserve">uf</w:t>
      </w:r>
      <w:r>
        <w:t xml:space="preserve">: Sigla do estado brasileiro relacionado ao atendimento.</w:t>
      </w:r>
    </w:p>
    <w:p>
      <w:pPr>
        <w:numPr>
          <w:ilvl w:val="0"/>
          <w:numId w:val="1005"/>
        </w:numPr>
        <w:pStyle w:val="Compact"/>
      </w:pPr>
      <w:r>
        <w:rPr>
          <w:bCs/>
          <w:b/>
        </w:rPr>
        <w:t xml:space="preserve">codigo_tipo_atendimento</w:t>
      </w:r>
      <w:r>
        <w:t xml:space="preserve">: Código numérico que representa o tipo de atendimento realizado.</w:t>
      </w:r>
    </w:p>
    <w:p>
      <w:pPr>
        <w:numPr>
          <w:ilvl w:val="0"/>
          <w:numId w:val="1005"/>
        </w:numPr>
        <w:pStyle w:val="Compact"/>
      </w:pPr>
      <w:r>
        <w:rPr>
          <w:bCs/>
          <w:b/>
        </w:rPr>
        <w:t xml:space="preserve">descricao_tipo_atendimento</w:t>
      </w:r>
      <w:r>
        <w:t xml:space="preserve">: Descrição textual do tipo de atendimento prestado ao consumidor.</w:t>
      </w:r>
    </w:p>
    <w:p>
      <w:pPr>
        <w:numPr>
          <w:ilvl w:val="0"/>
          <w:numId w:val="1005"/>
        </w:numPr>
        <w:pStyle w:val="Compact"/>
      </w:pPr>
      <w:r>
        <w:rPr>
          <w:bCs/>
          <w:b/>
        </w:rPr>
        <w:t xml:space="preserve">codigo_assunto</w:t>
      </w:r>
      <w:r>
        <w:t xml:space="preserve">: Código numérico que representa o assunto principal da demanda.</w:t>
      </w:r>
    </w:p>
    <w:p>
      <w:pPr>
        <w:numPr>
          <w:ilvl w:val="0"/>
          <w:numId w:val="1005"/>
        </w:numPr>
        <w:pStyle w:val="Compact"/>
      </w:pPr>
      <w:r>
        <w:rPr>
          <w:bCs/>
          <w:b/>
        </w:rPr>
        <w:t xml:space="preserve">descricao_assunto</w:t>
      </w:r>
      <w:r>
        <w:t xml:space="preserve">: Descrição textual do assunto principal da demanda.</w:t>
      </w:r>
    </w:p>
    <w:p>
      <w:pPr>
        <w:numPr>
          <w:ilvl w:val="0"/>
          <w:numId w:val="1005"/>
        </w:numPr>
        <w:pStyle w:val="Compact"/>
      </w:pPr>
      <w:r>
        <w:rPr>
          <w:bCs/>
          <w:b/>
        </w:rPr>
        <w:t xml:space="preserve">grupo_assunto</w:t>
      </w:r>
      <w:r>
        <w:t xml:space="preserve">: Categoria mais ampla à qual o assunto pertence.</w:t>
      </w:r>
    </w:p>
    <w:p>
      <w:pPr>
        <w:numPr>
          <w:ilvl w:val="0"/>
          <w:numId w:val="1005"/>
        </w:numPr>
        <w:pStyle w:val="Compact"/>
      </w:pPr>
      <w:r>
        <w:rPr>
          <w:bCs/>
          <w:b/>
        </w:rPr>
        <w:t xml:space="preserve">codigo_problema</w:t>
      </w:r>
      <w:r>
        <w:t xml:space="preserve">: Código numérico que identifica o problema específico relatado pelo consumidor.</w:t>
      </w:r>
    </w:p>
    <w:p>
      <w:pPr>
        <w:numPr>
          <w:ilvl w:val="0"/>
          <w:numId w:val="1005"/>
        </w:numPr>
        <w:pStyle w:val="Compact"/>
      </w:pPr>
      <w:r>
        <w:rPr>
          <w:bCs/>
          <w:b/>
        </w:rPr>
        <w:t xml:space="preserve">descricao_problema</w:t>
      </w:r>
      <w:r>
        <w:t xml:space="preserve">: Descrição detalhada do problema relatado.</w:t>
      </w:r>
    </w:p>
    <w:p>
      <w:pPr>
        <w:numPr>
          <w:ilvl w:val="0"/>
          <w:numId w:val="1005"/>
        </w:numPr>
        <w:pStyle w:val="Compact"/>
      </w:pPr>
      <w:r>
        <w:rPr>
          <w:bCs/>
          <w:b/>
        </w:rPr>
        <w:t xml:space="preserve">grupo_problema</w:t>
      </w:r>
      <w:r>
        <w:t xml:space="preserve">: Categoria mais ampla à qual o problema relatado pertence.</w:t>
      </w:r>
    </w:p>
    <w:p>
      <w:pPr>
        <w:numPr>
          <w:ilvl w:val="0"/>
          <w:numId w:val="1005"/>
        </w:numPr>
        <w:pStyle w:val="Compact"/>
      </w:pPr>
      <w:r>
        <w:rPr>
          <w:bCs/>
          <w:b/>
        </w:rPr>
        <w:t xml:space="preserve">sexo_consumidor</w:t>
      </w:r>
      <w:r>
        <w:t xml:space="preserve">: Gênero do consumidor, podendo ser</w:t>
      </w:r>
      <w:r>
        <w:t xml:space="preserve"> </w:t>
      </w:r>
      <w:r>
        <w:t xml:space="preserve">“</w:t>
      </w:r>
      <w:r>
        <w:t xml:space="preserve">F</w:t>
      </w:r>
      <w:r>
        <w:t xml:space="preserve">”</w:t>
      </w:r>
      <w:r>
        <w:t xml:space="preserve"> </w:t>
      </w:r>
      <w:r>
        <w:t xml:space="preserve">para feminino ou</w:t>
      </w:r>
      <w:r>
        <w:t xml:space="preserve"> </w:t>
      </w:r>
      <w:r>
        <w:t xml:space="preserve">“</w:t>
      </w:r>
      <w:r>
        <w:t xml:space="preserve">M</w:t>
      </w:r>
      <w:r>
        <w:t xml:space="preserve">”</w:t>
      </w:r>
      <w:r>
        <w:t xml:space="preserve"> </w:t>
      </w:r>
      <w:r>
        <w:t xml:space="preserve">para masculino.</w:t>
      </w:r>
    </w:p>
    <w:p>
      <w:pPr>
        <w:numPr>
          <w:ilvl w:val="0"/>
          <w:numId w:val="1005"/>
        </w:numPr>
        <w:pStyle w:val="Compact"/>
      </w:pPr>
      <w:r>
        <w:rPr>
          <w:bCs/>
          <w:b/>
        </w:rPr>
        <w:t xml:space="preserve">faixa_etaria_consumidor</w:t>
      </w:r>
      <w:r>
        <w:t xml:space="preserve">: Faixa etária do consumidor, categorizada em intervalos de idade.</w:t>
      </w:r>
    </w:p>
    <w:p>
      <w:pPr>
        <w:numPr>
          <w:ilvl w:val="0"/>
          <w:numId w:val="1005"/>
        </w:numPr>
        <w:pStyle w:val="Compact"/>
      </w:pPr>
      <w:r>
        <w:rPr>
          <w:bCs/>
          <w:b/>
        </w:rPr>
        <w:t xml:space="preserve">cep_consumidor</w:t>
      </w:r>
      <w:r>
        <w:t xml:space="preserve">: Código de Endereçamento Postal (CEP) associado ao consumidor, podendo estar vazio ou ser</w:t>
      </w:r>
      <w:r>
        <w:t xml:space="preserve"> </w:t>
      </w:r>
      <w:r>
        <w:t xml:space="preserve">“</w:t>
      </w:r>
      <w:r>
        <w:t xml:space="preserve">NULL</w:t>
      </w:r>
      <w:r>
        <w:t xml:space="preserve">”</w:t>
      </w:r>
      <w:r>
        <w:t xml:space="preserve">.</w:t>
      </w:r>
    </w:p>
    <w:p>
      <w:pPr>
        <w:numPr>
          <w:ilvl w:val="0"/>
          <w:numId w:val="1005"/>
        </w:numPr>
        <w:pStyle w:val="Compact"/>
      </w:pPr>
      <w:r>
        <w:rPr>
          <w:bCs/>
          <w:b/>
        </w:rPr>
        <w:t xml:space="preserve">tipo_fornecedor</w:t>
      </w:r>
      <w:r>
        <w:t xml:space="preserve">: Código numérico que representa o tipo de fornecedor contra o qual a demanda foi registrada.</w:t>
      </w:r>
    </w:p>
    <w:p>
      <w:pPr>
        <w:numPr>
          <w:ilvl w:val="0"/>
          <w:numId w:val="1005"/>
        </w:numPr>
        <w:pStyle w:val="Compact"/>
      </w:pPr>
      <w:r>
        <w:rPr>
          <w:bCs/>
          <w:b/>
        </w:rPr>
        <w:t xml:space="preserve">razao_social_sindec</w:t>
      </w:r>
      <w:r>
        <w:t xml:space="preserve">: Razão social do fornecedor conforme registrado no Sindec.</w:t>
      </w:r>
    </w:p>
    <w:p>
      <w:pPr>
        <w:numPr>
          <w:ilvl w:val="0"/>
          <w:numId w:val="1005"/>
        </w:numPr>
        <w:pStyle w:val="Compact"/>
      </w:pPr>
      <w:r>
        <w:rPr>
          <w:bCs/>
          <w:b/>
        </w:rPr>
        <w:t xml:space="preserve">nome_fantasia_sindec</w:t>
      </w:r>
      <w:r>
        <w:t xml:space="preserve">: Nome fantasia do fornecedor conforme registrado no Sindec.</w:t>
      </w:r>
    </w:p>
    <w:p>
      <w:pPr>
        <w:numPr>
          <w:ilvl w:val="0"/>
          <w:numId w:val="1005"/>
        </w:numPr>
        <w:pStyle w:val="Compact"/>
      </w:pPr>
      <w:r>
        <w:rPr>
          <w:bCs/>
          <w:b/>
        </w:rPr>
        <w:t xml:space="preserve">cnpj</w:t>
      </w:r>
      <w:r>
        <w:t xml:space="preserve">: Número do Cadastro Nacional de Pessoa Jurídica do fornecedor.</w:t>
      </w:r>
    </w:p>
    <w:p>
      <w:pPr>
        <w:numPr>
          <w:ilvl w:val="0"/>
          <w:numId w:val="1005"/>
        </w:numPr>
        <w:pStyle w:val="Compact"/>
      </w:pPr>
      <w:r>
        <w:rPr>
          <w:bCs/>
          <w:b/>
        </w:rPr>
        <w:t xml:space="preserve">radical_cnpj</w:t>
      </w:r>
      <w:r>
        <w:t xml:space="preserve">: Primeiros oito dígitos do CNPJ, identificando a matriz da empresa.</w:t>
      </w:r>
    </w:p>
    <w:p>
      <w:pPr>
        <w:numPr>
          <w:ilvl w:val="0"/>
          <w:numId w:val="1005"/>
        </w:numPr>
        <w:pStyle w:val="Compact"/>
      </w:pPr>
      <w:r>
        <w:rPr>
          <w:bCs/>
          <w:b/>
        </w:rPr>
        <w:t xml:space="preserve">razao_social_rfb</w:t>
      </w:r>
      <w:r>
        <w:t xml:space="preserve">: Razão social do fornecedor conforme registrado na Receita Federal do Brasil.</w:t>
      </w:r>
    </w:p>
    <w:p>
      <w:pPr>
        <w:numPr>
          <w:ilvl w:val="0"/>
          <w:numId w:val="1005"/>
        </w:numPr>
        <w:pStyle w:val="Compact"/>
      </w:pPr>
      <w:r>
        <w:rPr>
          <w:bCs/>
          <w:b/>
        </w:rPr>
        <w:t xml:space="preserve">nome_fantasia_rfb</w:t>
      </w:r>
      <w:r>
        <w:t xml:space="preserve">: Nome fantasia do fornecedor conforme registrado na Receita Federal do Brasil.</w:t>
      </w:r>
    </w:p>
    <w:p>
      <w:pPr>
        <w:numPr>
          <w:ilvl w:val="0"/>
          <w:numId w:val="1005"/>
        </w:numPr>
        <w:pStyle w:val="Compact"/>
      </w:pPr>
      <w:r>
        <w:rPr>
          <w:bCs/>
          <w:b/>
        </w:rPr>
        <w:t xml:space="preserve">codigo_cnae_principal</w:t>
      </w:r>
      <w:r>
        <w:t xml:space="preserve">: Código da Classificação Nacional de Atividades Econômicas principal da empresa.</w:t>
      </w:r>
    </w:p>
    <w:p>
      <w:pPr>
        <w:numPr>
          <w:ilvl w:val="0"/>
          <w:numId w:val="1005"/>
        </w:numPr>
        <w:pStyle w:val="Compact"/>
      </w:pPr>
      <w:r>
        <w:rPr>
          <w:bCs/>
          <w:b/>
        </w:rPr>
        <w:t xml:space="preserve">descricao_cnae_principal</w:t>
      </w:r>
      <w:r>
        <w:t xml:space="preserve">: Descrição da atividade econômica principal da empresa conforme a CNAE.</w:t>
      </w:r>
    </w:p>
    <w:p>
      <w:pPr>
        <w:pStyle w:val="FirstParagraph"/>
      </w:pPr>
      <w:r>
        <w:t xml:space="preserve">A terceira e última fonte de dados são as informações do Judiciário. Infelizmente, os dados do judiciário não são abertos, sendo necessário utilizar técnicas de raspagem de dados para obter as informações desejadas. Como essas técnicas têm um custo computacional alto, tanto para desenvolvimento quanto para aplicação, decidimos restringir o escopo territorial da pesquisa para considerar somente o estado de São Paulo. Além disso, na consulta processual, consideramos apenas uma amostra de 1000 processos que serão analisados em maior detalhe.</w:t>
      </w:r>
    </w:p>
    <w:p>
      <w:pPr>
        <w:pStyle w:val="Corpodetexto"/>
      </w:pPr>
      <w:r>
        <w:t xml:space="preserve">A base do TJSP é obtida em dois passos. No primeiro passo, acessamos o</w:t>
      </w:r>
      <w:r>
        <w:t xml:space="preserve"> </w:t>
      </w:r>
      <w:hyperlink r:id="rId26">
        <w:r>
          <w:rPr>
            <w:rStyle w:val="Hyperlink"/>
          </w:rPr>
          <w:t xml:space="preserve">site do banco de sentenças do TJSP</w:t>
        </w:r>
      </w:hyperlink>
      <w:r>
        <w:t xml:space="preserve">, que contém informações de sentenças proferidas pelo TJSP. O site permite a consulta de sentenças por classe, por comarca, por data de disponibilização e por data de distribuição. No nosso caso, fizemos um levantamento considerando todos os assuntos da árvore de direito do consumidor, de acordo com a Figura</w:t>
      </w:r>
      <w:r>
        <w:t xml:space="preserve"> </w:t>
      </w:r>
      <w:hyperlink w:anchor="fig-assuntos">
        <w:r>
          <w:rPr>
            <w:rStyle w:val="Hyperlink"/>
          </w:rPr>
          <w:t xml:space="preserve">Figure 1</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30" w:name="fig-assuntos"/>
          <w:p>
            <w:pPr>
              <w:pStyle w:val="Compact"/>
              <w:jc w:val="center"/>
            </w:pPr>
            <w:r>
              <w:drawing>
                <wp:inline>
                  <wp:extent cx="4957010" cy="3522846"/>
                  <wp:effectExtent b="0" l="0" r="0" t="0"/>
                  <wp:docPr descr="" title="" id="28" name="Picture"/>
                  <a:graphic>
                    <a:graphicData uri="http://schemas.openxmlformats.org/drawingml/2006/picture">
                      <pic:pic>
                        <pic:nvPicPr>
                          <pic:cNvPr descr="img/assuntos_tjsp.png" id="29" name="Picture"/>
                          <pic:cNvPicPr>
                            <a:picLocks noChangeArrowheads="1" noChangeAspect="1"/>
                          </pic:cNvPicPr>
                        </pic:nvPicPr>
                        <pic:blipFill>
                          <a:blip r:embed="rId27"/>
                          <a:stretch>
                            <a:fillRect/>
                          </a:stretch>
                        </pic:blipFill>
                        <pic:spPr bwMode="auto">
                          <a:xfrm>
                            <a:off x="0" y="0"/>
                            <a:ext cx="4957010" cy="352284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Assuntos selecionados para pesquisa de processos no TJSP.</w:t>
            </w:r>
          </w:p>
          <w:bookmarkEnd w:id="30"/>
        </w:tc>
      </w:tr>
    </w:tbl>
    <w:p>
      <w:pPr>
        <w:pStyle w:val="Corpodetexto"/>
      </w:pPr>
      <w:r>
        <w:t xml:space="preserve">Além disso, consideramos apenas as classes processuais</w:t>
      </w:r>
      <w:r>
        <w:t xml:space="preserve"> </w:t>
      </w:r>
      <w:r>
        <w:t xml:space="preserve">“</w:t>
      </w:r>
      <w:r>
        <w:t xml:space="preserve">Procedimento Comum Cível</w:t>
      </w:r>
      <w:r>
        <w:t xml:space="preserve">”</w:t>
      </w:r>
      <w:r>
        <w:t xml:space="preserve"> </w:t>
      </w:r>
      <w:r>
        <w:t xml:space="preserve">e</w:t>
      </w:r>
      <w:r>
        <w:t xml:space="preserve"> </w:t>
      </w:r>
      <w:r>
        <w:t xml:space="preserve">“</w:t>
      </w:r>
      <w:r>
        <w:t xml:space="preserve">Procedimento do Juizado Especial Cível</w:t>
      </w:r>
      <w:r>
        <w:t xml:space="preserve">”</w:t>
      </w:r>
      <w:r>
        <w:t xml:space="preserve">. A consulta retorna uma tabela com 1.053.853 decisões e 13 informações, descritas a seguir:</w:t>
      </w:r>
    </w:p>
    <w:p>
      <w:pPr>
        <w:numPr>
          <w:ilvl w:val="0"/>
          <w:numId w:val="1006"/>
        </w:numPr>
        <w:pStyle w:val="Compact"/>
      </w:pPr>
      <w:r>
        <w:rPr>
          <w:bCs/>
          <w:b/>
        </w:rPr>
        <w:t xml:space="preserve">file</w:t>
      </w:r>
      <w:r>
        <w:t xml:space="preserve">: Caminho ou nome do arquivo de onde os dados foram extraídos.</w:t>
      </w:r>
    </w:p>
    <w:p>
      <w:pPr>
        <w:numPr>
          <w:ilvl w:val="0"/>
          <w:numId w:val="1006"/>
        </w:numPr>
        <w:pStyle w:val="Compact"/>
      </w:pPr>
      <w:r>
        <w:rPr>
          <w:bCs/>
          <w:b/>
        </w:rPr>
        <w:t xml:space="preserve">processo</w:t>
      </w:r>
      <w:r>
        <w:t xml:space="preserve">: Número único de identificação do processo no Tribunal de Justiça.</w:t>
      </w:r>
    </w:p>
    <w:p>
      <w:pPr>
        <w:numPr>
          <w:ilvl w:val="0"/>
          <w:numId w:val="1006"/>
        </w:numPr>
        <w:pStyle w:val="Compact"/>
      </w:pPr>
      <w:r>
        <w:rPr>
          <w:bCs/>
          <w:b/>
        </w:rPr>
        <w:t xml:space="preserve">pagina</w:t>
      </w:r>
      <w:r>
        <w:t xml:space="preserve">: Número da página do documento dentro do processo.</w:t>
      </w:r>
    </w:p>
    <w:p>
      <w:pPr>
        <w:numPr>
          <w:ilvl w:val="0"/>
          <w:numId w:val="1006"/>
        </w:numPr>
        <w:pStyle w:val="Compact"/>
      </w:pPr>
      <w:r>
        <w:rPr>
          <w:bCs/>
          <w:b/>
        </w:rPr>
        <w:t xml:space="preserve">duplicado</w:t>
      </w:r>
      <w:r>
        <w:t xml:space="preserve">: Indicador lógico (verdadeiro/falso) identificando se o processo aparece mais de uma vez na base de dados (casos com mais de uma decisão).</w:t>
      </w:r>
    </w:p>
    <w:p>
      <w:pPr>
        <w:numPr>
          <w:ilvl w:val="0"/>
          <w:numId w:val="1006"/>
        </w:numPr>
        <w:pStyle w:val="Compact"/>
      </w:pPr>
      <w:r>
        <w:rPr>
          <w:bCs/>
          <w:b/>
        </w:rPr>
        <w:t xml:space="preserve">classe</w:t>
      </w:r>
      <w:r>
        <w:t xml:space="preserve">: Categoria ou tipo de processo, por exemplo,</w:t>
      </w:r>
      <w:r>
        <w:t xml:space="preserve"> </w:t>
      </w:r>
      <w:r>
        <w:t xml:space="preserve">“</w:t>
      </w:r>
      <w:r>
        <w:t xml:space="preserve">Procedimento Comum Cível</w:t>
      </w:r>
      <w:r>
        <w:t xml:space="preserve">”</w:t>
      </w:r>
      <w:r>
        <w:t xml:space="preserve">.</w:t>
      </w:r>
    </w:p>
    <w:p>
      <w:pPr>
        <w:numPr>
          <w:ilvl w:val="0"/>
          <w:numId w:val="1006"/>
        </w:numPr>
        <w:pStyle w:val="Compact"/>
      </w:pPr>
      <w:r>
        <w:rPr>
          <w:bCs/>
          <w:b/>
        </w:rPr>
        <w:t xml:space="preserve">assunto</w:t>
      </w:r>
      <w:r>
        <w:t xml:space="preserve">: Tema ou assunto principal do processo.</w:t>
      </w:r>
    </w:p>
    <w:p>
      <w:pPr>
        <w:numPr>
          <w:ilvl w:val="0"/>
          <w:numId w:val="1006"/>
        </w:numPr>
        <w:pStyle w:val="Compact"/>
      </w:pPr>
      <w:r>
        <w:rPr>
          <w:bCs/>
          <w:b/>
        </w:rPr>
        <w:t xml:space="preserve">magistrado</w:t>
      </w:r>
      <w:r>
        <w:t xml:space="preserve">: Nome do magistrado ou juiz responsável pelo processo.</w:t>
      </w:r>
    </w:p>
    <w:p>
      <w:pPr>
        <w:numPr>
          <w:ilvl w:val="0"/>
          <w:numId w:val="1006"/>
        </w:numPr>
        <w:pStyle w:val="Compact"/>
      </w:pPr>
      <w:r>
        <w:rPr>
          <w:bCs/>
          <w:b/>
        </w:rPr>
        <w:t xml:space="preserve">comarca</w:t>
      </w:r>
      <w:r>
        <w:t xml:space="preserve">: Jurisdição ou área geográfica na qual o processo está registrado.</w:t>
      </w:r>
    </w:p>
    <w:p>
      <w:pPr>
        <w:numPr>
          <w:ilvl w:val="0"/>
          <w:numId w:val="1006"/>
        </w:numPr>
        <w:pStyle w:val="Compact"/>
      </w:pPr>
      <w:r>
        <w:rPr>
          <w:bCs/>
          <w:b/>
        </w:rPr>
        <w:t xml:space="preserve">foro</w:t>
      </w:r>
      <w:r>
        <w:t xml:space="preserve">: Nome do foro onde o processo está tramitando.</w:t>
      </w:r>
    </w:p>
    <w:p>
      <w:pPr>
        <w:numPr>
          <w:ilvl w:val="0"/>
          <w:numId w:val="1006"/>
        </w:numPr>
        <w:pStyle w:val="Compact"/>
      </w:pPr>
      <w:r>
        <w:rPr>
          <w:bCs/>
          <w:b/>
        </w:rPr>
        <w:t xml:space="preserve">vara</w:t>
      </w:r>
      <w:r>
        <w:t xml:space="preserve">: Nome da vara judicial na qual o processo está alocado.</w:t>
      </w:r>
    </w:p>
    <w:p>
      <w:pPr>
        <w:numPr>
          <w:ilvl w:val="0"/>
          <w:numId w:val="1006"/>
        </w:numPr>
        <w:pStyle w:val="Compact"/>
      </w:pPr>
      <w:r>
        <w:rPr>
          <w:bCs/>
          <w:b/>
        </w:rPr>
        <w:t xml:space="preserve">disponibilizacao</w:t>
      </w:r>
      <w:r>
        <w:t xml:space="preserve">: Data em que o documento foi disponibilizado pelo Tribunal.</w:t>
      </w:r>
    </w:p>
    <w:p>
      <w:pPr>
        <w:numPr>
          <w:ilvl w:val="0"/>
          <w:numId w:val="1006"/>
        </w:numPr>
        <w:pStyle w:val="Compact"/>
      </w:pPr>
      <w:r>
        <w:rPr>
          <w:bCs/>
          <w:b/>
        </w:rPr>
        <w:t xml:space="preserve">cd_doc</w:t>
      </w:r>
      <w:r>
        <w:t xml:space="preserve">: Código único de identificação do documento dentro do processo.</w:t>
      </w:r>
    </w:p>
    <w:p>
      <w:pPr>
        <w:pStyle w:val="FirstParagraph"/>
      </w:pPr>
      <w:r>
        <w:t xml:space="preserve">Em seguida, consultamos uma amostra de 10.000 casos, selecionados aleatoriamente a partir dos processos listados acima. A amostra foi realizada por conta do volume da base de dados, que é muito grande. Dos 10.000 casos consultados, 16 não retornaram nenhum resultado na consulta de processos. o resultado, então, foi uma base com 9.951 processos e 20 colunas:</w:t>
      </w:r>
    </w:p>
    <w:p>
      <w:pPr>
        <w:numPr>
          <w:ilvl w:val="0"/>
          <w:numId w:val="1007"/>
        </w:numPr>
        <w:pStyle w:val="Compact"/>
      </w:pPr>
      <w:r>
        <w:rPr>
          <w:bCs/>
          <w:b/>
        </w:rPr>
        <w:t xml:space="preserve">file</w:t>
      </w:r>
      <w:r>
        <w:t xml:space="preserve">: Caminho ou nome do arquivo HTML de onde os dados foram extraídos.</w:t>
      </w:r>
    </w:p>
    <w:p>
      <w:pPr>
        <w:numPr>
          <w:ilvl w:val="0"/>
          <w:numId w:val="1007"/>
        </w:numPr>
        <w:pStyle w:val="Compact"/>
      </w:pPr>
      <w:r>
        <w:rPr>
          <w:bCs/>
          <w:b/>
        </w:rPr>
        <w:t xml:space="preserve">processo</w:t>
      </w:r>
      <w:r>
        <w:t xml:space="preserve">: Número único de identificação do processo no Tribunal de Justiça.</w:t>
      </w:r>
    </w:p>
    <w:p>
      <w:pPr>
        <w:numPr>
          <w:ilvl w:val="0"/>
          <w:numId w:val="1007"/>
        </w:numPr>
        <w:pStyle w:val="Compact"/>
      </w:pPr>
      <w:r>
        <w:rPr>
          <w:bCs/>
          <w:b/>
        </w:rPr>
        <w:t xml:space="preserve">codigo_processo</w:t>
      </w:r>
      <w:r>
        <w:t xml:space="preserve">: Código único de identificação do processo, utilizado internamente pelo sistema do tribunal.</w:t>
      </w:r>
    </w:p>
    <w:p>
      <w:pPr>
        <w:numPr>
          <w:ilvl w:val="0"/>
          <w:numId w:val="1007"/>
        </w:numPr>
        <w:pStyle w:val="Compact"/>
      </w:pPr>
      <w:r>
        <w:rPr>
          <w:bCs/>
          <w:b/>
        </w:rPr>
        <w:t xml:space="preserve">digital</w:t>
      </w:r>
      <w:r>
        <w:t xml:space="preserve">: Indicador lógico (verdadeiro/falso) que mostra se o processo é digital ou físico.</w:t>
      </w:r>
    </w:p>
    <w:p>
      <w:pPr>
        <w:numPr>
          <w:ilvl w:val="0"/>
          <w:numId w:val="1007"/>
        </w:numPr>
        <w:pStyle w:val="Compact"/>
      </w:pPr>
      <w:r>
        <w:rPr>
          <w:bCs/>
          <w:b/>
        </w:rPr>
        <w:t xml:space="preserve">situacao</w:t>
      </w:r>
      <w:r>
        <w:t xml:space="preserve">: Situação atual do processo, como</w:t>
      </w:r>
      <w:r>
        <w:t xml:space="preserve"> </w:t>
      </w:r>
      <w:r>
        <w:t xml:space="preserve">“</w:t>
      </w:r>
      <w:r>
        <w:t xml:space="preserve">Extinto</w:t>
      </w:r>
      <w:r>
        <w:t xml:space="preserve">”</w:t>
      </w:r>
      <w:r>
        <w:t xml:space="preserve">,</w:t>
      </w:r>
      <w:r>
        <w:t xml:space="preserve"> </w:t>
      </w:r>
      <w:r>
        <w:t xml:space="preserve">“</w:t>
      </w:r>
      <w:r>
        <w:t xml:space="preserve">Em andamento</w:t>
      </w:r>
      <w:r>
        <w:t xml:space="preserve">”</w:t>
      </w:r>
      <w:r>
        <w:t xml:space="preserve"> </w:t>
      </w:r>
      <w:r>
        <w:t xml:space="preserve">ou</w:t>
      </w:r>
      <w:r>
        <w:t xml:space="preserve"> </w:t>
      </w:r>
      <w:r>
        <w:t xml:space="preserve">“</w:t>
      </w:r>
      <w:r>
        <w:t xml:space="preserve">Em grau de recurso</w:t>
      </w:r>
      <w:r>
        <w:t xml:space="preserve">”</w:t>
      </w:r>
      <w:r>
        <w:t xml:space="preserve">.</w:t>
      </w:r>
    </w:p>
    <w:p>
      <w:pPr>
        <w:numPr>
          <w:ilvl w:val="0"/>
          <w:numId w:val="1007"/>
        </w:numPr>
        <w:pStyle w:val="Compact"/>
      </w:pPr>
      <w:r>
        <w:rPr>
          <w:bCs/>
          <w:b/>
        </w:rPr>
        <w:t xml:space="preserve">area</w:t>
      </w:r>
      <w:r>
        <w:t xml:space="preserve">: Área do direito a qual o processo está relacionado, como</w:t>
      </w:r>
      <w:r>
        <w:t xml:space="preserve"> </w:t>
      </w:r>
      <w:r>
        <w:t xml:space="preserve">“</w:t>
      </w:r>
      <w:r>
        <w:t xml:space="preserve">Cível</w:t>
      </w:r>
      <w:r>
        <w:t xml:space="preserve">”</w:t>
      </w:r>
      <w:r>
        <w:t xml:space="preserve">,</w:t>
      </w:r>
      <w:r>
        <w:t xml:space="preserve"> </w:t>
      </w:r>
      <w:r>
        <w:t xml:space="preserve">“</w:t>
      </w:r>
      <w:r>
        <w:t xml:space="preserve">Criminal</w:t>
      </w:r>
      <w:r>
        <w:t xml:space="preserve">”</w:t>
      </w:r>
      <w:r>
        <w:t xml:space="preserve">, etc.</w:t>
      </w:r>
    </w:p>
    <w:p>
      <w:pPr>
        <w:numPr>
          <w:ilvl w:val="0"/>
          <w:numId w:val="1007"/>
        </w:numPr>
        <w:pStyle w:val="Compact"/>
      </w:pPr>
      <w:r>
        <w:rPr>
          <w:bCs/>
          <w:b/>
        </w:rPr>
        <w:t xml:space="preserve">assunto</w:t>
      </w:r>
      <w:r>
        <w:t xml:space="preserve">: Tema ou assunto principal do processo.</w:t>
      </w:r>
    </w:p>
    <w:p>
      <w:pPr>
        <w:numPr>
          <w:ilvl w:val="0"/>
          <w:numId w:val="1007"/>
        </w:numPr>
        <w:pStyle w:val="Compact"/>
      </w:pPr>
      <w:r>
        <w:rPr>
          <w:bCs/>
          <w:b/>
        </w:rPr>
        <w:t xml:space="preserve">classe</w:t>
      </w:r>
      <w:r>
        <w:t xml:space="preserve">: Categoria ou tipo de processo, como</w:t>
      </w:r>
      <w:r>
        <w:t xml:space="preserve"> </w:t>
      </w:r>
      <w:r>
        <w:t xml:space="preserve">“</w:t>
      </w:r>
      <w:r>
        <w:t xml:space="preserve">Procedimento Comum Cível</w:t>
      </w:r>
      <w:r>
        <w:t xml:space="preserve">”</w:t>
      </w:r>
      <w:r>
        <w:t xml:space="preserve">.</w:t>
      </w:r>
    </w:p>
    <w:p>
      <w:pPr>
        <w:numPr>
          <w:ilvl w:val="0"/>
          <w:numId w:val="1007"/>
        </w:numPr>
        <w:pStyle w:val="Compact"/>
      </w:pPr>
      <w:r>
        <w:rPr>
          <w:bCs/>
          <w:b/>
        </w:rPr>
        <w:t xml:space="preserve">controle</w:t>
      </w:r>
      <w:r>
        <w:t xml:space="preserve">: Número de controle interno do processo.</w:t>
      </w:r>
    </w:p>
    <w:p>
      <w:pPr>
        <w:numPr>
          <w:ilvl w:val="0"/>
          <w:numId w:val="1007"/>
        </w:numPr>
        <w:pStyle w:val="Compact"/>
      </w:pPr>
      <w:r>
        <w:rPr>
          <w:bCs/>
          <w:b/>
        </w:rPr>
        <w:t xml:space="preserve">distribuicao</w:t>
      </w:r>
      <w:r>
        <w:t xml:space="preserve">: Data, hora e critério de distribuição do processo.</w:t>
      </w:r>
    </w:p>
    <w:p>
      <w:pPr>
        <w:numPr>
          <w:ilvl w:val="0"/>
          <w:numId w:val="1007"/>
        </w:numPr>
        <w:pStyle w:val="Compact"/>
      </w:pPr>
      <w:r>
        <w:rPr>
          <w:bCs/>
          <w:b/>
        </w:rPr>
        <w:t xml:space="preserve">foro</w:t>
      </w:r>
      <w:r>
        <w:t xml:space="preserve">: Nome do foro onde o processo está tramitando.</w:t>
      </w:r>
    </w:p>
    <w:p>
      <w:pPr>
        <w:numPr>
          <w:ilvl w:val="0"/>
          <w:numId w:val="1007"/>
        </w:numPr>
        <w:pStyle w:val="Compact"/>
      </w:pPr>
      <w:r>
        <w:rPr>
          <w:bCs/>
          <w:b/>
        </w:rPr>
        <w:t xml:space="preserve">juiz</w:t>
      </w:r>
      <w:r>
        <w:t xml:space="preserve">: Nome do juiz responsável pelo processo.</w:t>
      </w:r>
    </w:p>
    <w:p>
      <w:pPr>
        <w:numPr>
          <w:ilvl w:val="0"/>
          <w:numId w:val="1007"/>
        </w:numPr>
        <w:pStyle w:val="Compact"/>
      </w:pPr>
      <w:r>
        <w:rPr>
          <w:bCs/>
          <w:b/>
        </w:rPr>
        <w:t xml:space="preserve">local_fisico</w:t>
      </w:r>
      <w:r>
        <w:t xml:space="preserve">: Informação sobre a localização física do processo, incluindo data e local.</w:t>
      </w:r>
    </w:p>
    <w:p>
      <w:pPr>
        <w:numPr>
          <w:ilvl w:val="0"/>
          <w:numId w:val="1007"/>
        </w:numPr>
        <w:pStyle w:val="Compact"/>
      </w:pPr>
      <w:r>
        <w:rPr>
          <w:bCs/>
          <w:b/>
        </w:rPr>
        <w:t xml:space="preserve">outros_numeros</w:t>
      </w:r>
      <w:r>
        <w:t xml:space="preserve">: Outros números de identificação associados ao processo.</w:t>
      </w:r>
    </w:p>
    <w:p>
      <w:pPr>
        <w:numPr>
          <w:ilvl w:val="0"/>
          <w:numId w:val="1007"/>
        </w:numPr>
        <w:pStyle w:val="Compact"/>
      </w:pPr>
      <w:r>
        <w:rPr>
          <w:bCs/>
          <w:b/>
        </w:rPr>
        <w:t xml:space="preserve">valor_da_acao</w:t>
      </w:r>
      <w:r>
        <w:t xml:space="preserve">: Valor monetário envolvido na ação.</w:t>
      </w:r>
    </w:p>
    <w:p>
      <w:pPr>
        <w:numPr>
          <w:ilvl w:val="0"/>
          <w:numId w:val="1007"/>
        </w:numPr>
        <w:pStyle w:val="Compact"/>
      </w:pPr>
      <w:r>
        <w:rPr>
          <w:bCs/>
          <w:b/>
        </w:rPr>
        <w:t xml:space="preserve">vara</w:t>
      </w:r>
      <w:r>
        <w:t xml:space="preserve">: Nome da vara judicial na qual o processo está alocado.</w:t>
      </w:r>
    </w:p>
    <w:p>
      <w:pPr>
        <w:numPr>
          <w:ilvl w:val="0"/>
          <w:numId w:val="1007"/>
        </w:numPr>
        <w:pStyle w:val="Compact"/>
      </w:pPr>
      <w:r>
        <w:rPr>
          <w:bCs/>
          <w:b/>
        </w:rPr>
        <w:t xml:space="preserve">outros_assuntos</w:t>
      </w:r>
      <w:r>
        <w:t xml:space="preserve">: Outros temas ou assuntos relacionados ao processo.</w:t>
      </w:r>
    </w:p>
    <w:p>
      <w:pPr>
        <w:numPr>
          <w:ilvl w:val="0"/>
          <w:numId w:val="1007"/>
        </w:numPr>
        <w:pStyle w:val="Compact"/>
      </w:pPr>
      <w:r>
        <w:rPr>
          <w:bCs/>
          <w:b/>
        </w:rPr>
        <w:t xml:space="preserve">apensado_ao</w:t>
      </w:r>
      <w:r>
        <w:t xml:space="preserve">: Informação sobre se o processo está apensado a outro.</w:t>
      </w:r>
    </w:p>
    <w:p>
      <w:pPr>
        <w:numPr>
          <w:ilvl w:val="0"/>
          <w:numId w:val="1007"/>
        </w:numPr>
        <w:pStyle w:val="Compact"/>
      </w:pPr>
      <w:r>
        <w:rPr>
          <w:bCs/>
          <w:b/>
        </w:rPr>
        <w:t xml:space="preserve">partes</w:t>
      </w:r>
      <w:r>
        <w:t xml:space="preserve">: Lista contendo informações sobre as partes envolvidas no processo.</w:t>
      </w:r>
    </w:p>
    <w:p>
      <w:pPr>
        <w:numPr>
          <w:ilvl w:val="0"/>
          <w:numId w:val="1007"/>
        </w:numPr>
        <w:pStyle w:val="Compact"/>
      </w:pPr>
      <w:r>
        <w:rPr>
          <w:bCs/>
          <w:b/>
        </w:rPr>
        <w:t xml:space="preserve">movs</w:t>
      </w:r>
      <w:r>
        <w:t xml:space="preserve">: Lista contendo informações sobre as movimentações processuais.</w:t>
      </w:r>
    </w:p>
    <w:bookmarkStart w:id="32" w:name="plano-de-análise"/>
    <w:p>
      <w:pPr>
        <w:pStyle w:val="Ttulo3"/>
      </w:pPr>
      <w:r>
        <w:t xml:space="preserve">Plano de análise</w:t>
      </w:r>
    </w:p>
    <w:p>
      <w:pPr>
        <w:pStyle w:val="FirstParagraph"/>
      </w:pPr>
      <w:r>
        <w:t xml:space="preserve">As análises foram organizadas de forma a responder às questões norteadoras de pesquisa. As análises utilizam técnicas de estatística descritiva (BUSSAB &amp; MORETTIN, 2019), como gráficos de barras, séries de tempo, mapas gráficos de médias.</w:t>
      </w:r>
    </w:p>
    <w:p>
      <w:pPr>
        <w:pStyle w:val="Corpodetexto"/>
      </w:pPr>
      <w:r>
        <w:t xml:space="preserve">Infelizmente, nem todas as bases contêm informações suficientes para realizar as análises relacionadas a todas as questões norteadoras da pesquisa. O Quadro abaixo resume as bases de dados e análises realizadas para cada questão norteadora:</w:t>
      </w:r>
    </w:p>
    <w:p>
      <w:pPr>
        <w:pStyle w:val="Corpodetexto"/>
      </w:pPr>
      <w:r>
        <w:t xml:space="preserve">Abaixo está uma tabela estruturada para guiar a pesquisa baseada nas perguntas fornecidas, utilizando as bases de dados do CGOV, SINDEC, TJSP-Sentenças e TJSP-Processos:</w:t>
      </w:r>
    </w:p>
    <w:tbl>
      <w:tblPr>
        <w:tblStyle w:val="Table"/>
        <w:tblW w:type="pct" w:w="5000"/>
        <w:tblLook w:firstRow="1" w:lastRow="0" w:firstColumn="0" w:lastColumn="0" w:noHBand="0" w:noVBand="0" w:val="0020"/>
        <w:jc w:val="start"/>
        <w:tblLayout w:type="fixed"/>
      </w:tblPr>
      <w:tblGrid>
        <w:gridCol w:w="3366"/>
        <w:gridCol w:w="1683"/>
        <w:gridCol w:w="2871"/>
      </w:tblGrid>
      <w:tr>
        <w:trPr>
          <w:tblHeader w:val="true"/>
        </w:trPr>
        <w:tc>
          <w:tcPr/>
          <w:p>
            <w:pPr>
              <w:pStyle w:val="Compact"/>
              <w:jc w:val="left"/>
            </w:pPr>
            <w:r>
              <w:t xml:space="preserve">Questões Norteadoras da Pesquisa</w:t>
            </w:r>
          </w:p>
        </w:tc>
        <w:tc>
          <w:tcPr/>
          <w:p>
            <w:pPr>
              <w:pStyle w:val="Compact"/>
              <w:jc w:val="left"/>
            </w:pPr>
            <w:r>
              <w:t xml:space="preserve">Bases Utilizadas</w:t>
            </w:r>
          </w:p>
        </w:tc>
        <w:tc>
          <w:tcPr/>
          <w:p>
            <w:pPr>
              <w:pStyle w:val="Compact"/>
              <w:jc w:val="left"/>
            </w:pPr>
            <w:r>
              <w:t xml:space="preserve">Análises a Serem Realizadas</w:t>
            </w:r>
          </w:p>
        </w:tc>
      </w:tr>
      <w:tr>
        <w:tc>
          <w:tcPr/>
          <w:p>
            <w:pPr>
              <w:pStyle w:val="Compact"/>
              <w:jc w:val="left"/>
            </w:pPr>
            <w:r>
              <w:t xml:space="preserve">1. Distribuição regional das reclamações e processos em São Paulo</w:t>
            </w:r>
          </w:p>
        </w:tc>
        <w:tc>
          <w:tcPr/>
          <w:p>
            <w:pPr>
              <w:pStyle w:val="Compact"/>
              <w:jc w:val="left"/>
            </w:pPr>
            <w:r>
              <w:t xml:space="preserve">CGOV, TJSP-Sentenças</w:t>
            </w:r>
          </w:p>
        </w:tc>
        <w:tc>
          <w:tcPr/>
          <w:p>
            <w:pPr>
              <w:pStyle w:val="Compact"/>
              <w:jc w:val="left"/>
            </w:pPr>
            <w:r>
              <w:t xml:space="preserve">- Mapeamento geográfico das reclamações e processos.</w:t>
            </w:r>
          </w:p>
        </w:tc>
      </w:tr>
      <w:tr>
        <w:tc>
          <w:tcPr/>
          <w:p>
            <w:pPr>
              <w:pStyle w:val="Compact"/>
              <w:jc w:val="left"/>
            </w:pPr>
            <w:r>
              <w:t xml:space="preserve">2. Principais assuntos discutidos</w:t>
            </w:r>
          </w:p>
        </w:tc>
        <w:tc>
          <w:tcPr/>
          <w:p>
            <w:pPr>
              <w:pStyle w:val="Compact"/>
              <w:jc w:val="left"/>
            </w:pPr>
            <w:r>
              <w:t xml:space="preserve">CGOV, SINDEC, TJSP-Sentenças</w:t>
            </w:r>
          </w:p>
        </w:tc>
        <w:tc>
          <w:tcPr/>
          <w:p>
            <w:pPr>
              <w:pStyle w:val="Compact"/>
              <w:jc w:val="left"/>
            </w:pPr>
            <w:r>
              <w:t xml:space="preserve">- Análise de frequência dos assuntos para identificação dos temas mais recorrentes.</w:t>
            </w:r>
          </w:p>
        </w:tc>
      </w:tr>
      <w:tr>
        <w:tc>
          <w:tcPr/>
          <w:p>
            <w:pPr>
              <w:pStyle w:val="Compact"/>
              <w:jc w:val="left"/>
            </w:pPr>
            <w:r>
              <w:t xml:space="preserve">3. Impacto da pandemia na quantidade de reclamações e processos</w:t>
            </w:r>
          </w:p>
        </w:tc>
        <w:tc>
          <w:tcPr/>
          <w:p>
            <w:pPr>
              <w:pStyle w:val="Compact"/>
              <w:jc w:val="left"/>
            </w:pPr>
            <w:r>
              <w:t xml:space="preserve">CGOV, SINDEC, TJSP-Sentenças</w:t>
            </w:r>
          </w:p>
        </w:tc>
        <w:tc>
          <w:tcPr/>
          <w:p>
            <w:pPr>
              <w:pStyle w:val="Compact"/>
              <w:jc w:val="left"/>
            </w:pPr>
            <w:r>
              <w:t xml:space="preserve">- Análise de série temporal para identificar tendências e variações ao longo do tempo.</w:t>
            </w:r>
            <w:r>
              <w:t xml:space="preserve">- Comparação dos períodos pré e pós-início da pandemia.</w:t>
            </w:r>
          </w:p>
        </w:tc>
      </w:tr>
      <w:tr>
        <w:tc>
          <w:tcPr/>
          <w:p>
            <w:pPr>
              <w:pStyle w:val="Compact"/>
              <w:jc w:val="left"/>
            </w:pPr>
            <w:r>
              <w:t xml:space="preserve">4. Maiores litigantes e tipos empresariais mais comuns</w:t>
            </w:r>
          </w:p>
        </w:tc>
        <w:tc>
          <w:tcPr/>
          <w:p>
            <w:pPr>
              <w:pStyle w:val="Compact"/>
              <w:jc w:val="left"/>
            </w:pPr>
            <w:r>
              <w:t xml:space="preserve">CGOV, SINDEC, TJSP-Processos</w:t>
            </w:r>
          </w:p>
        </w:tc>
        <w:tc>
          <w:tcPr/>
          <w:p>
            <w:pPr>
              <w:pStyle w:val="Compact"/>
              <w:jc w:val="left"/>
            </w:pPr>
            <w:r>
              <w:t xml:space="preserve">- Identificação e ranking dos maiores litigantes.</w:t>
            </w:r>
            <w:r>
              <w:t xml:space="preserve">- Análise da frequência de diferentes tipos empresariais nas reclamações.</w:t>
            </w:r>
          </w:p>
        </w:tc>
      </w:tr>
      <w:tr>
        <w:tc>
          <w:tcPr/>
          <w:p>
            <w:pPr>
              <w:pStyle w:val="Compact"/>
              <w:jc w:val="left"/>
            </w:pPr>
            <w:r>
              <w:t xml:space="preserve">5. Taxa de resolução de conflitos</w:t>
            </w:r>
          </w:p>
        </w:tc>
        <w:tc>
          <w:tcPr/>
          <w:p>
            <w:pPr>
              <w:pStyle w:val="Compact"/>
              <w:jc w:val="left"/>
            </w:pPr>
            <w:r>
              <w:t xml:space="preserve">CGOV, TJSP-Processos</w:t>
            </w:r>
          </w:p>
        </w:tc>
        <w:tc>
          <w:tcPr/>
          <w:p>
            <w:pPr>
              <w:pStyle w:val="Compact"/>
              <w:jc w:val="left"/>
            </w:pPr>
            <w:r>
              <w:t xml:space="preserve">- Cálculo da taxa de resolução baseando-se na proporção de decisões favoráveis ao consumidor e taxa de resoluções das reclamações.</w:t>
            </w:r>
          </w:p>
        </w:tc>
      </w:tr>
      <w:tr>
        <w:tc>
          <w:tcPr/>
          <w:p>
            <w:pPr>
              <w:pStyle w:val="Compact"/>
              <w:jc w:val="left"/>
            </w:pPr>
            <w:r>
              <w:t xml:space="preserve">6. Tempo de duração das reclamações e processos</w:t>
            </w:r>
          </w:p>
        </w:tc>
        <w:tc>
          <w:tcPr/>
          <w:p>
            <w:pPr>
              <w:pStyle w:val="Compact"/>
              <w:jc w:val="left"/>
            </w:pPr>
            <w:r>
              <w:t xml:space="preserve">CGOV, TJSP-Processos</w:t>
            </w:r>
          </w:p>
        </w:tc>
        <w:tc>
          <w:tcPr/>
          <w:p>
            <w:pPr>
              <w:pStyle w:val="Compact"/>
              <w:jc w:val="left"/>
            </w:pPr>
            <w:r>
              <w:t xml:space="preserve">- Cálculo do tempo de duração desde o início até a conclusão/resolução.</w:t>
            </w:r>
            <w:r>
              <w:t xml:space="preserve">- Análise estatística para identificar a distribuição do tempo de duração.</w:t>
            </w:r>
          </w:p>
        </w:tc>
      </w:tr>
    </w:tbl>
    <w:p>
      <w:pPr>
        <w:pStyle w:val="Corpodetexto"/>
      </w:pPr>
      <w:r>
        <w:t xml:space="preserve">Uma limitação da análise realizada é o cruzamento de variáveis para avaliar diferentes questões norteadoras. Por exemplo, pode ser de interesse realizar análises dos tempos dos processos e taxa de resolução comparando diferentes tipos empresariais. Essas análises, no entanto, não foram realizadas, para não aumentar demasiadamente o tamanho do levantamento, que já é complexo.</w:t>
      </w:r>
    </w:p>
    <w:p>
      <w:pPr>
        <w:pStyle w:val="Corpodetexto"/>
      </w:pPr>
      <w:r>
        <w:t xml:space="preserve">Com o objetivo de permitir que novas análises sobre o tema sejam realizadas, todas as bases foram disponibilizadas publicamente. Elas estão disponíveis em um repositório do</w:t>
      </w:r>
      <w:r>
        <w:t xml:space="preserve"> </w:t>
      </w:r>
      <w:hyperlink r:id="rId31">
        <w:r>
          <w:rPr>
            <w:rStyle w:val="Hyperlink"/>
          </w:rPr>
          <w:t xml:space="preserve">GitHub</w:t>
        </w:r>
      </w:hyperlink>
      <w:r>
        <w:t xml:space="preserve">, uma plataforma de produção e gerstão de software que permite o acesso online e gratuito.</w:t>
      </w:r>
    </w:p>
    <w:bookmarkEnd w:id="32"/>
    <w:bookmarkEnd w:id="33"/>
    <w:bookmarkStart w:id="91" w:name="análise-de-dados"/>
    <w:p>
      <w:pPr>
        <w:pStyle w:val="Ttulo2"/>
      </w:pPr>
      <w:r>
        <w:t xml:space="preserve">Análise de dados</w:t>
      </w:r>
    </w:p>
    <w:bookmarkStart w:id="42" w:name="X575a52a5a9dd233ed570ce3f535b793eba01c39"/>
    <w:p>
      <w:pPr>
        <w:pStyle w:val="Ttulo3"/>
      </w:pPr>
      <w:r>
        <w:t xml:space="preserve">Como se distribuem regionalmente as reclamações e processos no estado de São Paulo?</w:t>
      </w:r>
    </w:p>
    <w:p>
      <w:pPr>
        <w:pStyle w:val="FirstParagraph"/>
      </w:pPr>
      <w:r>
        <w:t xml:space="preserve">A</w:t>
      </w:r>
      <w:r>
        <w:t xml:space="preserve"> </w:t>
      </w:r>
      <w:hyperlink w:anchor="fig-regiao-cgov">
        <w:r>
          <w:rPr>
            <w:rStyle w:val="Hyperlink"/>
          </w:rPr>
          <w:t xml:space="preserve">Figure 2</w:t>
        </w:r>
      </w:hyperlink>
      <w:r>
        <w:t xml:space="preserve"> </w:t>
      </w:r>
      <w:r>
        <w:t xml:space="preserve">mostra a taxa de reclamações por cem mil habitantes em cada município de São Paulo. Consideramos apenas municípios com mais de 100 reclamações. É possível notar uma concentração maior da taxa de reclamações na região metropolitana. Também é possível identificar uma concentração atípica no norte do estado, na região de Palmeira D’Oeste.</w:t>
      </w:r>
    </w:p>
    <w:tbl>
      <w:tblPr>
        <w:tblStyle w:val="Table"/>
        <w:tblW w:type="pct" w:w="5000"/>
        <w:tblLook w:firstRow="0" w:lastRow="0" w:firstColumn="0" w:lastColumn="0" w:noHBand="0" w:noVBand="0" w:val="0000"/>
        <w:jc w:val="start"/>
        <w:tblLayout w:type="fixed"/>
      </w:tblPr>
      <w:tblGrid>
        <w:gridCol w:w="7920"/>
      </w:tblGrid>
      <w:tr>
        <w:tc>
          <w:tcPr/>
          <w:bookmarkStart w:id="37" w:name="fig-regiao-cgov"/>
          <w:p>
            <w:pPr>
              <w:pStyle w:val="Compact"/>
              <w:jc w:val="center"/>
            </w:pPr>
            <w:r>
              <w:drawing>
                <wp:inline>
                  <wp:extent cx="4587290" cy="3669832"/>
                  <wp:effectExtent b="0" l="0" r="0" t="0"/>
                  <wp:docPr descr="" title="" id="35" name="Picture"/>
                  <a:graphic>
                    <a:graphicData uri="http://schemas.openxmlformats.org/drawingml/2006/picture">
                      <pic:pic>
                        <pic:nvPicPr>
                          <pic:cNvPr descr="relatorio_files/figure-docx/fig-regiao-cgov-1.png" id="36" name="Picture"/>
                          <pic:cNvPicPr>
                            <a:picLocks noChangeArrowheads="1" noChangeAspect="1"/>
                          </pic:cNvPicPr>
                        </pic:nvPicPr>
                        <pic:blipFill>
                          <a:blip r:embed="rId34"/>
                          <a:stretch>
                            <a:fillRect/>
                          </a:stretch>
                        </pic:blipFill>
                        <pic:spPr bwMode="auto">
                          <a:xfrm>
                            <a:off x="0" y="0"/>
                            <a:ext cx="4587290" cy="36698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Taxa de reclamações por 100 mil habitantes em cada município.</w:t>
            </w:r>
          </w:p>
          <w:bookmarkEnd w:id="37"/>
        </w:tc>
      </w:tr>
    </w:tbl>
    <w:p>
      <w:pPr>
        <w:pStyle w:val="Corpodetexto"/>
      </w:pPr>
      <w:r>
        <w:t xml:space="preserve">A</w:t>
      </w:r>
      <w:r>
        <w:t xml:space="preserve"> </w:t>
      </w:r>
      <w:hyperlink w:anchor="fig-regiao-tjsp">
        <w:r>
          <w:rPr>
            <w:rStyle w:val="Hyperlink"/>
          </w:rPr>
          <w:t xml:space="preserve">Figure 3</w:t>
        </w:r>
      </w:hyperlink>
      <w:r>
        <w:t xml:space="preserve"> </w:t>
      </w:r>
      <w:r>
        <w:t xml:space="preserve">mostra a taxa de processos por cem mil habitantes em cada comarca de São Paulo. Consideramos apenas comarcas com população maior que 10.000 e mais de 100 processos. É possível notar uma concentração maior no norte e noroeste do estado.</w:t>
      </w:r>
    </w:p>
    <w:tbl>
      <w:tblPr>
        <w:tblStyle w:val="Table"/>
        <w:tblW w:type="pct" w:w="5000"/>
        <w:tblLook w:firstRow="0" w:lastRow="0" w:firstColumn="0" w:lastColumn="0" w:noHBand="0" w:noVBand="0" w:val="0000"/>
        <w:jc w:val="start"/>
        <w:tblLayout w:type="fixed"/>
      </w:tblPr>
      <w:tblGrid>
        <w:gridCol w:w="7920"/>
      </w:tblGrid>
      <w:tr>
        <w:tc>
          <w:tcPr/>
          <w:bookmarkStart w:id="41" w:name="fig-regiao-tjsp"/>
          <w:p>
            <w:pPr>
              <w:pStyle w:val="Compact"/>
              <w:jc w:val="center"/>
            </w:pPr>
            <w:r>
              <w:drawing>
                <wp:inline>
                  <wp:extent cx="4587290" cy="3669832"/>
                  <wp:effectExtent b="0" l="0" r="0" t="0"/>
                  <wp:docPr descr="" title="" id="39" name="Picture"/>
                  <a:graphic>
                    <a:graphicData uri="http://schemas.openxmlformats.org/drawingml/2006/picture">
                      <pic:pic>
                        <pic:nvPicPr>
                          <pic:cNvPr descr="relatorio_files/figure-docx/fig-regiao-tjsp-1.png" id="40" name="Picture"/>
                          <pic:cNvPicPr>
                            <a:picLocks noChangeArrowheads="1" noChangeAspect="1"/>
                          </pic:cNvPicPr>
                        </pic:nvPicPr>
                        <pic:blipFill>
                          <a:blip r:embed="rId38"/>
                          <a:stretch>
                            <a:fillRect/>
                          </a:stretch>
                        </pic:blipFill>
                        <pic:spPr bwMode="auto">
                          <a:xfrm>
                            <a:off x="0" y="0"/>
                            <a:ext cx="4587290" cy="36698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Taxa de processos por 100 mil habitantes em cada comarcas.</w:t>
            </w:r>
          </w:p>
          <w:bookmarkEnd w:id="41"/>
        </w:tc>
      </w:tr>
    </w:tbl>
    <w:bookmarkEnd w:id="42"/>
    <w:bookmarkStart w:id="46" w:name="X0890d49b470002d702d31ac4c134ae1cb162761"/>
    <w:p>
      <w:pPr>
        <w:pStyle w:val="Ttulo3"/>
      </w:pPr>
      <w:r>
        <w:t xml:space="preserve">Quais são os principais assuntos discutidos nas reclamações e processos?</w:t>
      </w:r>
    </w:p>
    <w:p>
      <w:pPr>
        <w:pStyle w:val="FirstParagraph"/>
      </w:pPr>
      <w:r>
        <w:t xml:space="preserve">A</w:t>
      </w:r>
      <w:r>
        <w:t xml:space="preserve"> </w:t>
      </w:r>
      <w:hyperlink w:anchor="tbl-assuntos-cgov">
        <w:r>
          <w:rPr>
            <w:rStyle w:val="Hyperlink"/>
          </w:rPr>
          <w:t xml:space="preserve">Table 1</w:t>
        </w:r>
      </w:hyperlink>
      <w:r>
        <w:t xml:space="preserve"> </w:t>
      </w:r>
      <w:r>
        <w:t xml:space="preserve">mostra os principais assuntos discutidos nas reclamações do CGOV. A maior parte dos casos são relacionados a propaganda/venda enganosa, reembolso/retenção de valores e cobrança indevida.</w:t>
      </w:r>
    </w:p>
    <w:tbl>
      <w:tblPr>
        <w:tblStyle w:val="Table"/>
        <w:tblW w:type="pct" w:w="5000"/>
        <w:tblLook w:firstRow="0" w:lastRow="0" w:firstColumn="0" w:lastColumn="0" w:noHBand="0" w:noVBand="0" w:val="0000"/>
        <w:jc w:val="start"/>
        <w:tblLayout w:type="fixed"/>
      </w:tblPr>
      <w:tblGrid>
        <w:gridCol w:w="7920"/>
      </w:tblGrid>
      <w:tr>
        <w:tc>
          <w:tcPr/>
          <w:bookmarkStart w:id="43" w:name="tbl-assuntos-cgov"/>
          <w:p>
            <w:pPr>
              <w:jc w:val="center"/>
            </w:pPr>
            <w:pPr>
              <w:jc w:val="start"/>
              <w:spacing w:before="200"/>
              <w:pStyle w:val="ImageCaption"/>
            </w:pPr>
            <w:r>
              <w:t xml:space="preserve">Table 1: Assuntos discutidos nas reclamações do CGOV.</w:t>
            </w:r>
          </w:p>
          <w:tbl>
            <w:tblPr>
              <w:tblStyle w:val="Table"/>
              <w:tblW w:type="pct" w:w="5000"/>
              <w:tblLook w:firstRow="1" w:lastRow="0" w:firstColumn="0" w:lastColumn="0" w:noHBand="0" w:noVBand="0" w:val="0020"/>
              <w:jc w:val="start"/>
              <w:tblLayout w:type="fixed"/>
            </w:tblPr>
            <w:tblGrid>
              <w:gridCol w:w="6902"/>
              <w:gridCol w:w="508"/>
              <w:gridCol w:w="508"/>
            </w:tblGrid>
            <w:tr>
              <w:trPr>
                <w:tblHeader w:val="true"/>
              </w:trPr>
              <w:tc>
                <w:tcPr/>
                <w:p>
                  <w:pPr>
                    <w:pStyle w:val="Compact"/>
                    <w:jc w:val="left"/>
                    <w:jc w:val="center"/>
                  </w:pPr>
                  <w:r>
                    <w:t xml:space="preserve">problema</w:t>
                  </w:r>
                </w:p>
              </w:tc>
              <w:tc>
                <w:tcPr/>
                <w:p>
                  <w:pPr>
                    <w:pStyle w:val="Compact"/>
                    <w:jc w:val="right"/>
                    <w:jc w:val="center"/>
                  </w:pPr>
                  <w:r>
                    <w:t xml:space="preserve">n</w:t>
                  </w:r>
                </w:p>
              </w:tc>
              <w:tc>
                <w:tcPr/>
                <w:p>
                  <w:pPr>
                    <w:pStyle w:val="Compact"/>
                    <w:jc w:val="right"/>
                    <w:jc w:val="center"/>
                  </w:pPr>
                  <w:r>
                    <w:t xml:space="preserve">prop</w:t>
                  </w:r>
                </w:p>
              </w:tc>
            </w:tr>
            <w:tr>
              <w:tc>
                <w:tcPr/>
                <w:p>
                  <w:pPr>
                    <w:pStyle w:val="Compact"/>
                    <w:jc w:val="left"/>
                    <w:jc w:val="center"/>
                  </w:pPr>
                  <w:r>
                    <w:t xml:space="preserve">Oferta não cumprida / serviço não fornecido/ venda enganosa / publicidade enganosa</w:t>
                  </w:r>
                </w:p>
              </w:tc>
              <w:tc>
                <w:tcPr/>
                <w:p>
                  <w:pPr>
                    <w:pStyle w:val="Compact"/>
                    <w:jc w:val="right"/>
                    <w:jc w:val="center"/>
                  </w:pPr>
                  <w:r>
                    <w:t xml:space="preserve">103932</w:t>
                  </w:r>
                </w:p>
              </w:tc>
              <w:tc>
                <w:tcPr/>
                <w:p>
                  <w:pPr>
                    <w:pStyle w:val="Compact"/>
                    <w:jc w:val="right"/>
                    <w:jc w:val="center"/>
                  </w:pPr>
                  <w:r>
                    <w:t xml:space="preserve">8.64%</w:t>
                  </w:r>
                </w:p>
              </w:tc>
            </w:tr>
            <w:tr>
              <w:tc>
                <w:tcPr/>
                <w:p>
                  <w:pPr>
                    <w:pStyle w:val="Compact"/>
                    <w:jc w:val="left"/>
                    <w:jc w:val="center"/>
                  </w:pPr>
                  <w:r>
                    <w:t xml:space="preserve">Dificuldade / atraso na devolução de valores pagos / reembolso / retenção de valores</w:t>
                  </w:r>
                </w:p>
              </w:tc>
              <w:tc>
                <w:tcPr/>
                <w:p>
                  <w:pPr>
                    <w:pStyle w:val="Compact"/>
                    <w:jc w:val="right"/>
                    <w:jc w:val="center"/>
                  </w:pPr>
                  <w:r>
                    <w:t xml:space="preserve">99644</w:t>
                  </w:r>
                </w:p>
              </w:tc>
              <w:tc>
                <w:tcPr/>
                <w:p>
                  <w:pPr>
                    <w:pStyle w:val="Compact"/>
                    <w:jc w:val="right"/>
                    <w:jc w:val="center"/>
                  </w:pPr>
                  <w:r>
                    <w:t xml:space="preserve">8.28%</w:t>
                  </w:r>
                </w:p>
              </w:tc>
            </w:tr>
            <w:tr>
              <w:tc>
                <w:tcPr/>
                <w:p>
                  <w:pPr>
                    <w:pStyle w:val="Compact"/>
                    <w:jc w:val="left"/>
                    <w:jc w:val="center"/>
                  </w:pPr>
                  <w:r>
                    <w:t xml:space="preserve">Cobrança indevida / abusiva para alterar ou cancelar o contrato</w:t>
                  </w:r>
                </w:p>
              </w:tc>
              <w:tc>
                <w:tcPr/>
                <w:p>
                  <w:pPr>
                    <w:pStyle w:val="Compact"/>
                    <w:jc w:val="right"/>
                    <w:jc w:val="center"/>
                  </w:pPr>
                  <w:r>
                    <w:t xml:space="preserve">82124</w:t>
                  </w:r>
                </w:p>
              </w:tc>
              <w:tc>
                <w:tcPr/>
                <w:p>
                  <w:pPr>
                    <w:pStyle w:val="Compact"/>
                    <w:jc w:val="right"/>
                    <w:jc w:val="center"/>
                  </w:pPr>
                  <w:r>
                    <w:t xml:space="preserve">6.83%</w:t>
                  </w:r>
                </w:p>
              </w:tc>
            </w:tr>
            <w:tr>
              <w:tc>
                <w:tcPr/>
                <w:p>
                  <w:pPr>
                    <w:pStyle w:val="Compact"/>
                    <w:jc w:val="left"/>
                    <w:jc w:val="center"/>
                  </w:pPr>
                  <w:r>
                    <w:t xml:space="preserve">Cobrança por serviço/produto não contratado / não reconhecido / não solicitado</w:t>
                  </w:r>
                </w:p>
              </w:tc>
              <w:tc>
                <w:tcPr/>
                <w:p>
                  <w:pPr>
                    <w:pStyle w:val="Compact"/>
                    <w:jc w:val="right"/>
                    <w:jc w:val="center"/>
                  </w:pPr>
                  <w:r>
                    <w:t xml:space="preserve">69713</w:t>
                  </w:r>
                </w:p>
              </w:tc>
              <w:tc>
                <w:tcPr/>
                <w:p>
                  <w:pPr>
                    <w:pStyle w:val="Compact"/>
                    <w:jc w:val="right"/>
                    <w:jc w:val="center"/>
                  </w:pPr>
                  <w:r>
                    <w:t xml:space="preserve">5.79%</w:t>
                  </w:r>
                </w:p>
              </w:tc>
            </w:tr>
            <w:tr>
              <w:tc>
                <w:tcPr/>
                <w:p>
                  <w:pPr>
                    <w:pStyle w:val="Compact"/>
                    <w:jc w:val="left"/>
                    <w:jc w:val="center"/>
                  </w:pPr>
                  <w:r>
                    <w:t xml:space="preserve">Não entrega / demora na entrega do produto</w:t>
                  </w:r>
                </w:p>
              </w:tc>
              <w:tc>
                <w:tcPr/>
                <w:p>
                  <w:pPr>
                    <w:pStyle w:val="Compact"/>
                    <w:jc w:val="right"/>
                    <w:jc w:val="center"/>
                  </w:pPr>
                  <w:r>
                    <w:t xml:space="preserve">50090</w:t>
                  </w:r>
                </w:p>
              </w:tc>
              <w:tc>
                <w:tcPr/>
                <w:p>
                  <w:pPr>
                    <w:pStyle w:val="Compact"/>
                    <w:jc w:val="right"/>
                    <w:jc w:val="center"/>
                  </w:pPr>
                  <w:r>
                    <w:t xml:space="preserve">4.16%</w:t>
                  </w:r>
                </w:p>
              </w:tc>
            </w:tr>
            <w:tr>
              <w:tc>
                <w:tcPr/>
                <w:p>
                  <w:pPr>
                    <w:pStyle w:val="Compact"/>
                    <w:jc w:val="left"/>
                    <w:jc w:val="center"/>
                  </w:pPr>
                  <w:r>
                    <w:t xml:space="preserve">SAC - Demanda não resolvida / não respondida / respondida após o prazo</w:t>
                  </w:r>
                </w:p>
              </w:tc>
              <w:tc>
                <w:tcPr/>
                <w:p>
                  <w:pPr>
                    <w:pStyle w:val="Compact"/>
                    <w:jc w:val="right"/>
                    <w:jc w:val="center"/>
                  </w:pPr>
                  <w:r>
                    <w:t xml:space="preserve">43963</w:t>
                  </w:r>
                </w:p>
              </w:tc>
              <w:tc>
                <w:tcPr/>
                <w:p>
                  <w:pPr>
                    <w:pStyle w:val="Compact"/>
                    <w:jc w:val="right"/>
                    <w:jc w:val="center"/>
                  </w:pPr>
                  <w:r>
                    <w:t xml:space="preserve">3.65%</w:t>
                  </w:r>
                </w:p>
              </w:tc>
            </w:tr>
            <w:tr>
              <w:tc>
                <w:tcPr/>
                <w:p>
                  <w:pPr>
                    <w:pStyle w:val="Compact"/>
                    <w:jc w:val="left"/>
                    <w:jc w:val="center"/>
                  </w:pPr>
                  <w:r>
                    <w:t xml:space="preserve">Dados pessoais ou financeiros consultados, coletados, publicados ou repassados sem autorização</w:t>
                  </w:r>
                </w:p>
              </w:tc>
              <w:tc>
                <w:tcPr/>
                <w:p>
                  <w:pPr>
                    <w:pStyle w:val="Compact"/>
                    <w:jc w:val="right"/>
                    <w:jc w:val="center"/>
                  </w:pPr>
                  <w:r>
                    <w:t xml:space="preserve">41502</w:t>
                  </w:r>
                </w:p>
              </w:tc>
              <w:tc>
                <w:tcPr/>
                <w:p>
                  <w:pPr>
                    <w:pStyle w:val="Compact"/>
                    <w:jc w:val="right"/>
                    <w:jc w:val="center"/>
                  </w:pPr>
                  <w:r>
                    <w:t xml:space="preserve">3.45%</w:t>
                  </w:r>
                </w:p>
              </w:tc>
            </w:tr>
            <w:tr>
              <w:tc>
                <w:tcPr/>
                <w:p>
                  <w:pPr>
                    <w:pStyle w:val="Compact"/>
                    <w:jc w:val="left"/>
                    <w:jc w:val="center"/>
                  </w:pPr>
                  <w:r>
                    <w:t xml:space="preserve">Cobrança de tarifas, taxas, valores não previstos / não informados</w:t>
                  </w:r>
                </w:p>
              </w:tc>
              <w:tc>
                <w:tcPr/>
                <w:p>
                  <w:pPr>
                    <w:pStyle w:val="Compact"/>
                    <w:jc w:val="right"/>
                    <w:jc w:val="center"/>
                  </w:pPr>
                  <w:r>
                    <w:t xml:space="preserve">41322</w:t>
                  </w:r>
                </w:p>
              </w:tc>
              <w:tc>
                <w:tcPr/>
                <w:p>
                  <w:pPr>
                    <w:pStyle w:val="Compact"/>
                    <w:jc w:val="right"/>
                    <w:jc w:val="center"/>
                  </w:pPr>
                  <w:r>
                    <w:t xml:space="preserve">3.43%</w:t>
                  </w:r>
                </w:p>
              </w:tc>
            </w:tr>
            <w:tr>
              <w:tc>
                <w:tcPr/>
                <w:p>
                  <w:pPr>
                    <w:pStyle w:val="Compact"/>
                    <w:jc w:val="left"/>
                    <w:jc w:val="center"/>
                  </w:pPr>
                  <w:r>
                    <w:t xml:space="preserve">Dificuldade de contato / demora no atendimento</w:t>
                  </w:r>
                </w:p>
              </w:tc>
              <w:tc>
                <w:tcPr/>
                <w:p>
                  <w:pPr>
                    <w:pStyle w:val="Compact"/>
                    <w:jc w:val="right"/>
                    <w:jc w:val="center"/>
                  </w:pPr>
                  <w:r>
                    <w:t xml:space="preserve">40359</w:t>
                  </w:r>
                </w:p>
              </w:tc>
              <w:tc>
                <w:tcPr/>
                <w:p>
                  <w:pPr>
                    <w:pStyle w:val="Compact"/>
                    <w:jc w:val="right"/>
                    <w:jc w:val="center"/>
                  </w:pPr>
                  <w:r>
                    <w:t xml:space="preserve">3.35%</w:t>
                  </w:r>
                </w:p>
              </w:tc>
            </w:tr>
            <w:tr>
              <w:tc>
                <w:tcPr/>
                <w:p>
                  <w:pPr>
                    <w:pStyle w:val="Compact"/>
                    <w:jc w:val="left"/>
                    <w:jc w:val="center"/>
                  </w:pPr>
                  <w:r>
                    <w:t xml:space="preserve">Produto danificado / não funciona - Dificuldade em trocar ou consertar no prazo de garantia</w:t>
                  </w:r>
                </w:p>
              </w:tc>
              <w:tc>
                <w:tcPr/>
                <w:p>
                  <w:pPr>
                    <w:pStyle w:val="Compact"/>
                    <w:jc w:val="right"/>
                    <w:jc w:val="center"/>
                  </w:pPr>
                  <w:r>
                    <w:t xml:space="preserve">26800</w:t>
                  </w:r>
                </w:p>
              </w:tc>
              <w:tc>
                <w:tcPr/>
                <w:p>
                  <w:pPr>
                    <w:pStyle w:val="Compact"/>
                    <w:jc w:val="right"/>
                    <w:jc w:val="center"/>
                  </w:pPr>
                  <w:r>
                    <w:t xml:space="preserve">2.23%</w:t>
                  </w:r>
                </w:p>
              </w:tc>
            </w:tr>
            <w:tr>
              <w:tc>
                <w:tcPr/>
                <w:p>
                  <w:pPr>
                    <w:pStyle w:val="Compact"/>
                    <w:jc w:val="left"/>
                    <w:jc w:val="center"/>
                  </w:pPr>
                  <w:r>
                    <w:t xml:space="preserve">Outros</w:t>
                  </w:r>
                </w:p>
              </w:tc>
              <w:tc>
                <w:tcPr/>
                <w:p>
                  <w:pPr>
                    <w:pStyle w:val="Compact"/>
                    <w:jc w:val="right"/>
                    <w:jc w:val="center"/>
                  </w:pPr>
                  <w:r>
                    <w:t xml:space="preserve">603665</w:t>
                  </w:r>
                </w:p>
              </w:tc>
              <w:tc>
                <w:tcPr/>
                <w:p>
                  <w:pPr>
                    <w:pStyle w:val="Compact"/>
                    <w:jc w:val="right"/>
                    <w:jc w:val="center"/>
                  </w:pPr>
                  <w:r>
                    <w:t xml:space="preserve">50.18%</w:t>
                  </w:r>
                </w:p>
              </w:tc>
            </w:tr>
          </w:tbl>
          <w:bookmarkEnd w:id="43"/>
          <w:p/>
        </w:tc>
      </w:tr>
    </w:tbl>
    <w:p>
      <w:pPr>
        <w:pStyle w:val="Corpodetexto"/>
      </w:pPr>
      <w:r>
        <w:t xml:space="preserve">A</w:t>
      </w:r>
      <w:r>
        <w:t xml:space="preserve"> </w:t>
      </w:r>
      <w:hyperlink w:anchor="tbl-assuntos-sindec">
        <w:r>
          <w:rPr>
            <w:rStyle w:val="Hyperlink"/>
          </w:rPr>
          <w:t xml:space="preserve">Table 2</w:t>
        </w:r>
      </w:hyperlink>
      <w:r>
        <w:t xml:space="preserve"> </w:t>
      </w:r>
      <w:r>
        <w:t xml:space="preserve">mostra os principais assuntos discutidos nas reclamações do SINDEC. A maior parte dos casos são relacionados a problemas com cobrança, problemas com contrato e vício/má qualidade do produto ou serviço.</w:t>
      </w:r>
    </w:p>
    <w:tbl>
      <w:tblPr>
        <w:tblStyle w:val="Table"/>
        <w:tblW w:type="pct" w:w="5000"/>
        <w:tblLook w:firstRow="0" w:lastRow="0" w:firstColumn="0" w:lastColumn="0" w:noHBand="0" w:noVBand="0" w:val="0000"/>
        <w:jc w:val="start"/>
        <w:tblLayout w:type="fixed"/>
      </w:tblPr>
      <w:tblGrid>
        <w:gridCol w:w="7920"/>
      </w:tblGrid>
      <w:tr>
        <w:tc>
          <w:tcPr/>
          <w:bookmarkStart w:id="44" w:name="tbl-assuntos-sindec"/>
          <w:p>
            <w:pPr>
              <w:jc w:val="center"/>
            </w:pPr>
            <w:pPr>
              <w:jc w:val="start"/>
              <w:spacing w:before="200"/>
              <w:pStyle w:val="ImageCaption"/>
            </w:pPr>
            <w:r>
              <w:t xml:space="preserve">Table 2: Assuntos discutidos nas reclamações do SINDEC.</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jc w:val="center"/>
                  </w:pPr>
                  <w:r>
                    <w:t xml:space="preserve">grupo_problema</w:t>
                  </w:r>
                </w:p>
              </w:tc>
              <w:tc>
                <w:tcPr/>
                <w:p>
                  <w:pPr>
                    <w:pStyle w:val="Compact"/>
                    <w:jc w:val="right"/>
                    <w:jc w:val="center"/>
                  </w:pPr>
                  <w:r>
                    <w:t xml:space="preserve">n</w:t>
                  </w:r>
                </w:p>
              </w:tc>
              <w:tc>
                <w:tcPr/>
                <w:p>
                  <w:pPr>
                    <w:pStyle w:val="Compact"/>
                    <w:jc w:val="right"/>
                    <w:jc w:val="center"/>
                  </w:pPr>
                  <w:r>
                    <w:t xml:space="preserve">prop</w:t>
                  </w:r>
                </w:p>
              </w:tc>
            </w:tr>
            <w:tr>
              <w:tc>
                <w:tcPr/>
                <w:p>
                  <w:pPr>
                    <w:pStyle w:val="Compact"/>
                    <w:jc w:val="left"/>
                    <w:jc w:val="center"/>
                  </w:pPr>
                  <w:r>
                    <w:t xml:space="preserve">Problemas com Cobranca</w:t>
                  </w:r>
                </w:p>
              </w:tc>
              <w:tc>
                <w:tcPr/>
                <w:p>
                  <w:pPr>
                    <w:pStyle w:val="Compact"/>
                    <w:jc w:val="right"/>
                    <w:jc w:val="center"/>
                  </w:pPr>
                  <w:r>
                    <w:t xml:space="preserve">880885</w:t>
                  </w:r>
                </w:p>
              </w:tc>
              <w:tc>
                <w:tcPr/>
                <w:p>
                  <w:pPr>
                    <w:pStyle w:val="Compact"/>
                    <w:jc w:val="right"/>
                    <w:jc w:val="center"/>
                  </w:pPr>
                  <w:r>
                    <w:t xml:space="preserve">37.53%</w:t>
                  </w:r>
                </w:p>
              </w:tc>
            </w:tr>
            <w:tr>
              <w:tc>
                <w:tcPr/>
                <w:p>
                  <w:pPr>
                    <w:pStyle w:val="Compact"/>
                    <w:jc w:val="left"/>
                    <w:jc w:val="center"/>
                  </w:pPr>
                  <w:r>
                    <w:t xml:space="preserve">Problemas com Contrato</w:t>
                  </w:r>
                </w:p>
              </w:tc>
              <w:tc>
                <w:tcPr/>
                <w:p>
                  <w:pPr>
                    <w:pStyle w:val="Compact"/>
                    <w:jc w:val="right"/>
                    <w:jc w:val="center"/>
                  </w:pPr>
                  <w:r>
                    <w:t xml:space="preserve">452664</w:t>
                  </w:r>
                </w:p>
              </w:tc>
              <w:tc>
                <w:tcPr/>
                <w:p>
                  <w:pPr>
                    <w:pStyle w:val="Compact"/>
                    <w:jc w:val="right"/>
                    <w:jc w:val="center"/>
                  </w:pPr>
                  <w:r>
                    <w:t xml:space="preserve">19.29%</w:t>
                  </w:r>
                </w:p>
              </w:tc>
            </w:tr>
            <w:tr>
              <w:tc>
                <w:tcPr/>
                <w:p>
                  <w:pPr>
                    <w:pStyle w:val="Compact"/>
                    <w:jc w:val="left"/>
                    <w:jc w:val="center"/>
                  </w:pPr>
                  <w:r>
                    <w:t xml:space="preserve">Vicio ou Ma Qualidade de Produto ou Servico</w:t>
                  </w:r>
                </w:p>
              </w:tc>
              <w:tc>
                <w:tcPr/>
                <w:p>
                  <w:pPr>
                    <w:pStyle w:val="Compact"/>
                    <w:jc w:val="right"/>
                    <w:jc w:val="center"/>
                  </w:pPr>
                  <w:r>
                    <w:t xml:space="preserve">288709</w:t>
                  </w:r>
                </w:p>
              </w:tc>
              <w:tc>
                <w:tcPr/>
                <w:p>
                  <w:pPr>
                    <w:pStyle w:val="Compact"/>
                    <w:jc w:val="right"/>
                    <w:jc w:val="center"/>
                  </w:pPr>
                  <w:r>
                    <w:t xml:space="preserve">12.30%</w:t>
                  </w:r>
                </w:p>
              </w:tc>
            </w:tr>
            <w:tr>
              <w:tc>
                <w:tcPr/>
                <w:p>
                  <w:pPr>
                    <w:pStyle w:val="Compact"/>
                    <w:jc w:val="left"/>
                    <w:jc w:val="center"/>
                  </w:pPr>
                  <w:r>
                    <w:t xml:space="preserve">Problemas na Entrega de Produtos</w:t>
                  </w:r>
                </w:p>
              </w:tc>
              <w:tc>
                <w:tcPr/>
                <w:p>
                  <w:pPr>
                    <w:pStyle w:val="Compact"/>
                    <w:jc w:val="right"/>
                    <w:jc w:val="center"/>
                  </w:pPr>
                  <w:r>
                    <w:t xml:space="preserve">225158</w:t>
                  </w:r>
                </w:p>
              </w:tc>
              <w:tc>
                <w:tcPr/>
                <w:p>
                  <w:pPr>
                    <w:pStyle w:val="Compact"/>
                    <w:jc w:val="right"/>
                    <w:jc w:val="center"/>
                  </w:pPr>
                  <w:r>
                    <w:t xml:space="preserve">9.59%</w:t>
                  </w:r>
                </w:p>
              </w:tc>
            </w:tr>
            <w:tr>
              <w:tc>
                <w:tcPr/>
                <w:p>
                  <w:pPr>
                    <w:pStyle w:val="Compact"/>
                    <w:jc w:val="left"/>
                    <w:jc w:val="center"/>
                  </w:pPr>
                  <w:r>
                    <w:t xml:space="preserve">Problemas com SAC</w:t>
                  </w:r>
                </w:p>
              </w:tc>
              <w:tc>
                <w:tcPr/>
                <w:p>
                  <w:pPr>
                    <w:pStyle w:val="Compact"/>
                    <w:jc w:val="right"/>
                    <w:jc w:val="center"/>
                  </w:pPr>
                  <w:r>
                    <w:t xml:space="preserve">149132</w:t>
                  </w:r>
                </w:p>
              </w:tc>
              <w:tc>
                <w:tcPr/>
                <w:p>
                  <w:pPr>
                    <w:pStyle w:val="Compact"/>
                    <w:jc w:val="right"/>
                    <w:jc w:val="center"/>
                  </w:pPr>
                  <w:r>
                    <w:t xml:space="preserve">6.35%</w:t>
                  </w:r>
                </w:p>
              </w:tc>
            </w:tr>
            <w:tr>
              <w:tc>
                <w:tcPr/>
                <w:p>
                  <w:pPr>
                    <w:pStyle w:val="Compact"/>
                    <w:jc w:val="left"/>
                    <w:jc w:val="center"/>
                  </w:pPr>
                  <w:r>
                    <w:t xml:space="preserve">Problemas na Oferta</w:t>
                  </w:r>
                </w:p>
              </w:tc>
              <w:tc>
                <w:tcPr/>
                <w:p>
                  <w:pPr>
                    <w:pStyle w:val="Compact"/>
                    <w:jc w:val="right"/>
                    <w:jc w:val="center"/>
                  </w:pPr>
                  <w:r>
                    <w:t xml:space="preserve">125989</w:t>
                  </w:r>
                </w:p>
              </w:tc>
              <w:tc>
                <w:tcPr/>
                <w:p>
                  <w:pPr>
                    <w:pStyle w:val="Compact"/>
                    <w:jc w:val="right"/>
                    <w:jc w:val="center"/>
                  </w:pPr>
                  <w:r>
                    <w:t xml:space="preserve">5.37%</w:t>
                  </w:r>
                </w:p>
              </w:tc>
            </w:tr>
            <w:tr>
              <w:tc>
                <w:tcPr/>
                <w:p>
                  <w:pPr>
                    <w:pStyle w:val="Compact"/>
                    <w:jc w:val="left"/>
                    <w:jc w:val="center"/>
                  </w:pPr>
                  <w:r>
                    <w:t xml:space="preserve">Problemas Diversos com Produtos e Servicos</w:t>
                  </w:r>
                </w:p>
              </w:tc>
              <w:tc>
                <w:tcPr/>
                <w:p>
                  <w:pPr>
                    <w:pStyle w:val="Compact"/>
                    <w:jc w:val="right"/>
                    <w:jc w:val="center"/>
                  </w:pPr>
                  <w:r>
                    <w:t xml:space="preserve">79424</w:t>
                  </w:r>
                </w:p>
              </w:tc>
              <w:tc>
                <w:tcPr/>
                <w:p>
                  <w:pPr>
                    <w:pStyle w:val="Compact"/>
                    <w:jc w:val="right"/>
                    <w:jc w:val="center"/>
                  </w:pPr>
                  <w:r>
                    <w:t xml:space="preserve">3.38%</w:t>
                  </w:r>
                </w:p>
              </w:tc>
            </w:tr>
            <w:tr>
              <w:tc>
                <w:tcPr/>
                <w:p>
                  <w:pPr>
                    <w:pStyle w:val="Compact"/>
                    <w:jc w:val="left"/>
                    <w:jc w:val="center"/>
                  </w:pPr>
                  <w:r>
                    <w:t xml:space="preserve">Outros</w:t>
                  </w:r>
                </w:p>
              </w:tc>
              <w:tc>
                <w:tcPr/>
                <w:p>
                  <w:pPr>
                    <w:pStyle w:val="Compact"/>
                    <w:jc w:val="right"/>
                    <w:jc w:val="center"/>
                  </w:pPr>
                  <w:r>
                    <w:t xml:space="preserve">66151</w:t>
                  </w:r>
                </w:p>
              </w:tc>
              <w:tc>
                <w:tcPr/>
                <w:p>
                  <w:pPr>
                    <w:pStyle w:val="Compact"/>
                    <w:jc w:val="right"/>
                    <w:jc w:val="center"/>
                  </w:pPr>
                  <w:r>
                    <w:t xml:space="preserve">2.82%</w:t>
                  </w:r>
                </w:p>
              </w:tc>
            </w:tr>
            <w:tr>
              <w:tc>
                <w:tcPr/>
                <w:p>
                  <w:pPr>
                    <w:pStyle w:val="Compact"/>
                    <w:jc w:val="left"/>
                    <w:jc w:val="center"/>
                  </w:pPr>
                  <w:r>
                    <w:t xml:space="preserve">Problemas com Garantia de Produtos</w:t>
                  </w:r>
                </w:p>
              </w:tc>
              <w:tc>
                <w:tcPr/>
                <w:p>
                  <w:pPr>
                    <w:pStyle w:val="Compact"/>
                    <w:jc w:val="right"/>
                    <w:jc w:val="center"/>
                  </w:pPr>
                  <w:r>
                    <w:t xml:space="preserve">41012</w:t>
                  </w:r>
                </w:p>
              </w:tc>
              <w:tc>
                <w:tcPr/>
                <w:p>
                  <w:pPr>
                    <w:pStyle w:val="Compact"/>
                    <w:jc w:val="right"/>
                    <w:jc w:val="center"/>
                  </w:pPr>
                  <w:r>
                    <w:t xml:space="preserve">1.75%</w:t>
                  </w:r>
                </w:p>
              </w:tc>
            </w:tr>
            <w:tr>
              <w:tc>
                <w:tcPr/>
                <w:p>
                  <w:pPr>
                    <w:pStyle w:val="Compact"/>
                    <w:jc w:val="left"/>
                    <w:jc w:val="center"/>
                  </w:pPr>
                  <w:r>
                    <w:t xml:space="preserve">Problemas com Desistencia de Compra ou Contratacao</w:t>
                  </w:r>
                </w:p>
              </w:tc>
              <w:tc>
                <w:tcPr/>
                <w:p>
                  <w:pPr>
                    <w:pStyle w:val="Compact"/>
                    <w:jc w:val="right"/>
                    <w:jc w:val="center"/>
                  </w:pPr>
                  <w:r>
                    <w:t xml:space="preserve">22743</w:t>
                  </w:r>
                </w:p>
              </w:tc>
              <w:tc>
                <w:tcPr/>
                <w:p>
                  <w:pPr>
                    <w:pStyle w:val="Compact"/>
                    <w:jc w:val="right"/>
                    <w:jc w:val="center"/>
                  </w:pPr>
                  <w:r>
                    <w:t xml:space="preserve">0.97%</w:t>
                  </w:r>
                </w:p>
              </w:tc>
            </w:tr>
            <w:tr>
              <w:tc>
                <w:tcPr/>
                <w:p>
                  <w:pPr>
                    <w:pStyle w:val="Compact"/>
                    <w:jc w:val="left"/>
                    <w:jc w:val="center"/>
                  </w:pPr>
                  <w:r>
                    <w:t xml:space="preserve">Problemas com Entrega de Documentos ao Consumidor</w:t>
                  </w:r>
                </w:p>
              </w:tc>
              <w:tc>
                <w:tcPr/>
                <w:p>
                  <w:pPr>
                    <w:pStyle w:val="Compact"/>
                    <w:jc w:val="right"/>
                    <w:jc w:val="center"/>
                  </w:pPr>
                  <w:r>
                    <w:t xml:space="preserve">15153</w:t>
                  </w:r>
                </w:p>
              </w:tc>
              <w:tc>
                <w:tcPr/>
                <w:p>
                  <w:pPr>
                    <w:pStyle w:val="Compact"/>
                    <w:jc w:val="right"/>
                    <w:jc w:val="center"/>
                  </w:pPr>
                  <w:r>
                    <w:t xml:space="preserve">0.65%</w:t>
                  </w:r>
                </w:p>
              </w:tc>
            </w:tr>
          </w:tbl>
          <w:bookmarkEnd w:id="44"/>
          <w:p/>
        </w:tc>
      </w:tr>
    </w:tbl>
    <w:p>
      <w:pPr>
        <w:pStyle w:val="Corpodetexto"/>
      </w:pPr>
      <w:r>
        <w:t xml:space="preserve">A</w:t>
      </w:r>
      <w:r>
        <w:t xml:space="preserve"> </w:t>
      </w:r>
      <w:hyperlink w:anchor="tbl-assuntos-tjsp">
        <w:r>
          <w:rPr>
            <w:rStyle w:val="Hyperlink"/>
          </w:rPr>
          <w:t xml:space="preserve">Table 3</w:t>
        </w:r>
      </w:hyperlink>
      <w:r>
        <w:t xml:space="preserve"> </w:t>
      </w:r>
      <w:r>
        <w:t xml:space="preserve">mostra os principais assuntos discutidos nos processos do TJSP. Infelizmente, a taxonomia dos tipos de casos não é a mesma quando comparada do CGOV. Os processos mais comuns são relacionados a indenização por dano material ou moral, sem especificar os motivos da indenização.</w:t>
      </w:r>
    </w:p>
    <w:tbl>
      <w:tblPr>
        <w:tblStyle w:val="Table"/>
        <w:tblW w:type="pct" w:w="5000"/>
        <w:tblLook w:firstRow="0" w:lastRow="0" w:firstColumn="0" w:lastColumn="0" w:noHBand="0" w:noVBand="0" w:val="0000"/>
        <w:jc w:val="start"/>
        <w:tblLayout w:type="fixed"/>
      </w:tblPr>
      <w:tblGrid>
        <w:gridCol w:w="7920"/>
      </w:tblGrid>
      <w:tr>
        <w:tc>
          <w:tcPr/>
          <w:bookmarkStart w:id="45" w:name="tbl-assuntos-tjsp"/>
          <w:p>
            <w:pPr>
              <w:jc w:val="center"/>
            </w:pPr>
            <w:pPr>
              <w:jc w:val="start"/>
              <w:spacing w:before="200"/>
              <w:pStyle w:val="ImageCaption"/>
            </w:pPr>
            <w:r>
              <w:t xml:space="preserve">Table 3: Assuntos discutidos nos processos do TJSP.</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jc w:val="center"/>
                  </w:pPr>
                  <w:r>
                    <w:t xml:space="preserve">assunto</w:t>
                  </w:r>
                </w:p>
              </w:tc>
              <w:tc>
                <w:tcPr/>
                <w:p>
                  <w:pPr>
                    <w:pStyle w:val="Compact"/>
                    <w:jc w:val="right"/>
                    <w:jc w:val="center"/>
                  </w:pPr>
                  <w:r>
                    <w:t xml:space="preserve">n</w:t>
                  </w:r>
                </w:p>
              </w:tc>
              <w:tc>
                <w:tcPr/>
                <w:p>
                  <w:pPr>
                    <w:pStyle w:val="Compact"/>
                    <w:jc w:val="right"/>
                    <w:jc w:val="center"/>
                  </w:pPr>
                  <w:r>
                    <w:t xml:space="preserve">prop</w:t>
                  </w:r>
                </w:p>
              </w:tc>
            </w:tr>
            <w:tr>
              <w:tc>
                <w:tcPr/>
                <w:p>
                  <w:pPr>
                    <w:pStyle w:val="Compact"/>
                    <w:jc w:val="left"/>
                    <w:jc w:val="center"/>
                  </w:pPr>
                  <w:r>
                    <w:t xml:space="preserve">Indenização por Dano Moral</w:t>
                  </w:r>
                </w:p>
              </w:tc>
              <w:tc>
                <w:tcPr/>
                <w:p>
                  <w:pPr>
                    <w:pStyle w:val="Compact"/>
                    <w:jc w:val="right"/>
                    <w:jc w:val="center"/>
                  </w:pPr>
                  <w:r>
                    <w:t xml:space="preserve">186140</w:t>
                  </w:r>
                </w:p>
              </w:tc>
              <w:tc>
                <w:tcPr/>
                <w:p>
                  <w:pPr>
                    <w:pStyle w:val="Compact"/>
                    <w:jc w:val="right"/>
                    <w:jc w:val="center"/>
                  </w:pPr>
                  <w:r>
                    <w:t xml:space="preserve">17.66%</w:t>
                  </w:r>
                </w:p>
              </w:tc>
            </w:tr>
            <w:tr>
              <w:tc>
                <w:tcPr/>
                <w:p>
                  <w:pPr>
                    <w:pStyle w:val="Compact"/>
                    <w:jc w:val="left"/>
                    <w:jc w:val="center"/>
                  </w:pPr>
                  <w:r>
                    <w:t xml:space="preserve">Indenização por Dano Material</w:t>
                  </w:r>
                </w:p>
              </w:tc>
              <w:tc>
                <w:tcPr/>
                <w:p>
                  <w:pPr>
                    <w:pStyle w:val="Compact"/>
                    <w:jc w:val="right"/>
                    <w:jc w:val="center"/>
                  </w:pPr>
                  <w:r>
                    <w:t xml:space="preserve">139789</w:t>
                  </w:r>
                </w:p>
              </w:tc>
              <w:tc>
                <w:tcPr/>
                <w:p>
                  <w:pPr>
                    <w:pStyle w:val="Compact"/>
                    <w:jc w:val="right"/>
                    <w:jc w:val="center"/>
                  </w:pPr>
                  <w:r>
                    <w:t xml:space="preserve">13.26%</w:t>
                  </w:r>
                </w:p>
              </w:tc>
            </w:tr>
            <w:tr>
              <w:tc>
                <w:tcPr/>
                <w:p>
                  <w:pPr>
                    <w:pStyle w:val="Compact"/>
                    <w:jc w:val="left"/>
                    <w:jc w:val="center"/>
                  </w:pPr>
                  <w:r>
                    <w:t xml:space="preserve">Rescisão do contrato e devolução do dinheiro</w:t>
                  </w:r>
                </w:p>
              </w:tc>
              <w:tc>
                <w:tcPr/>
                <w:p>
                  <w:pPr>
                    <w:pStyle w:val="Compact"/>
                    <w:jc w:val="right"/>
                    <w:jc w:val="center"/>
                  </w:pPr>
                  <w:r>
                    <w:t xml:space="preserve">121496</w:t>
                  </w:r>
                </w:p>
              </w:tc>
              <w:tc>
                <w:tcPr/>
                <w:p>
                  <w:pPr>
                    <w:pStyle w:val="Compact"/>
                    <w:jc w:val="right"/>
                    <w:jc w:val="center"/>
                  </w:pPr>
                  <w:r>
                    <w:t xml:space="preserve">11.53%</w:t>
                  </w:r>
                </w:p>
              </w:tc>
            </w:tr>
            <w:tr>
              <w:tc>
                <w:tcPr/>
                <w:p>
                  <w:pPr>
                    <w:pStyle w:val="Compact"/>
                    <w:jc w:val="left"/>
                    <w:jc w:val="center"/>
                  </w:pPr>
                  <w:r>
                    <w:t xml:space="preserve">Práticas Abusivas</w:t>
                  </w:r>
                </w:p>
              </w:tc>
              <w:tc>
                <w:tcPr/>
                <w:p>
                  <w:pPr>
                    <w:pStyle w:val="Compact"/>
                    <w:jc w:val="right"/>
                    <w:jc w:val="center"/>
                  </w:pPr>
                  <w:r>
                    <w:t xml:space="preserve">94024</w:t>
                  </w:r>
                </w:p>
              </w:tc>
              <w:tc>
                <w:tcPr/>
                <w:p>
                  <w:pPr>
                    <w:pStyle w:val="Compact"/>
                    <w:jc w:val="right"/>
                    <w:jc w:val="center"/>
                  </w:pPr>
                  <w:r>
                    <w:t xml:space="preserve">8.92%</w:t>
                  </w:r>
                </w:p>
              </w:tc>
            </w:tr>
            <w:tr>
              <w:tc>
                <w:tcPr/>
                <w:p>
                  <w:pPr>
                    <w:pStyle w:val="Compact"/>
                    <w:jc w:val="left"/>
                    <w:jc w:val="center"/>
                  </w:pPr>
                  <w:r>
                    <w:t xml:space="preserve">Inclusão Indevida em Cadastro de Inadimplentes</w:t>
                  </w:r>
                </w:p>
              </w:tc>
              <w:tc>
                <w:tcPr/>
                <w:p>
                  <w:pPr>
                    <w:pStyle w:val="Compact"/>
                    <w:jc w:val="right"/>
                    <w:jc w:val="center"/>
                  </w:pPr>
                  <w:r>
                    <w:t xml:space="preserve">92499</w:t>
                  </w:r>
                </w:p>
              </w:tc>
              <w:tc>
                <w:tcPr/>
                <w:p>
                  <w:pPr>
                    <w:pStyle w:val="Compact"/>
                    <w:jc w:val="right"/>
                    <w:jc w:val="center"/>
                  </w:pPr>
                  <w:r>
                    <w:t xml:space="preserve">8.78%</w:t>
                  </w:r>
                </w:p>
              </w:tc>
            </w:tr>
            <w:tr>
              <w:tc>
                <w:tcPr/>
                <w:p>
                  <w:pPr>
                    <w:pStyle w:val="Compact"/>
                    <w:jc w:val="left"/>
                    <w:jc w:val="center"/>
                  </w:pPr>
                  <w:r>
                    <w:t xml:space="preserve">Interpretação / Revisão de Contrato</w:t>
                  </w:r>
                </w:p>
              </w:tc>
              <w:tc>
                <w:tcPr/>
                <w:p>
                  <w:pPr>
                    <w:pStyle w:val="Compact"/>
                    <w:jc w:val="right"/>
                    <w:jc w:val="center"/>
                  </w:pPr>
                  <w:r>
                    <w:t xml:space="preserve">58460</w:t>
                  </w:r>
                </w:p>
              </w:tc>
              <w:tc>
                <w:tcPr/>
                <w:p>
                  <w:pPr>
                    <w:pStyle w:val="Compact"/>
                    <w:jc w:val="right"/>
                    <w:jc w:val="center"/>
                  </w:pPr>
                  <w:r>
                    <w:t xml:space="preserve">5.55%</w:t>
                  </w:r>
                </w:p>
              </w:tc>
            </w:tr>
            <w:tr>
              <w:tc>
                <w:tcPr/>
                <w:p>
                  <w:pPr>
                    <w:pStyle w:val="Compact"/>
                    <w:jc w:val="left"/>
                    <w:jc w:val="center"/>
                  </w:pPr>
                  <w:r>
                    <w:t xml:space="preserve">Bancários</w:t>
                  </w:r>
                </w:p>
              </w:tc>
              <w:tc>
                <w:tcPr/>
                <w:p>
                  <w:pPr>
                    <w:pStyle w:val="Compact"/>
                    <w:jc w:val="right"/>
                    <w:jc w:val="center"/>
                  </w:pPr>
                  <w:r>
                    <w:t xml:space="preserve">46788</w:t>
                  </w:r>
                </w:p>
              </w:tc>
              <w:tc>
                <w:tcPr/>
                <w:p>
                  <w:pPr>
                    <w:pStyle w:val="Compact"/>
                    <w:jc w:val="right"/>
                    <w:jc w:val="center"/>
                  </w:pPr>
                  <w:r>
                    <w:t xml:space="preserve">4.44%</w:t>
                  </w:r>
                </w:p>
              </w:tc>
            </w:tr>
            <w:tr>
              <w:tc>
                <w:tcPr/>
                <w:p>
                  <w:pPr>
                    <w:pStyle w:val="Compact"/>
                    <w:jc w:val="left"/>
                    <w:jc w:val="center"/>
                  </w:pPr>
                  <w:r>
                    <w:t xml:space="preserve">Cancelamento de vôo</w:t>
                  </w:r>
                </w:p>
              </w:tc>
              <w:tc>
                <w:tcPr/>
                <w:p>
                  <w:pPr>
                    <w:pStyle w:val="Compact"/>
                    <w:jc w:val="right"/>
                    <w:jc w:val="center"/>
                  </w:pPr>
                  <w:r>
                    <w:t xml:space="preserve">31384</w:t>
                  </w:r>
                </w:p>
              </w:tc>
              <w:tc>
                <w:tcPr/>
                <w:p>
                  <w:pPr>
                    <w:pStyle w:val="Compact"/>
                    <w:jc w:val="right"/>
                    <w:jc w:val="center"/>
                  </w:pPr>
                  <w:r>
                    <w:t xml:space="preserve">2.98%</w:t>
                  </w:r>
                </w:p>
              </w:tc>
            </w:tr>
            <w:tr>
              <w:tc>
                <w:tcPr/>
                <w:p>
                  <w:pPr>
                    <w:pStyle w:val="Compact"/>
                    <w:jc w:val="left"/>
                    <w:jc w:val="center"/>
                  </w:pPr>
                  <w:r>
                    <w:t xml:space="preserve">Planos de Saúde</w:t>
                  </w:r>
                </w:p>
              </w:tc>
              <w:tc>
                <w:tcPr/>
                <w:p>
                  <w:pPr>
                    <w:pStyle w:val="Compact"/>
                    <w:jc w:val="right"/>
                    <w:jc w:val="center"/>
                  </w:pPr>
                  <w:r>
                    <w:t xml:space="preserve">29950</w:t>
                  </w:r>
                </w:p>
              </w:tc>
              <w:tc>
                <w:tcPr/>
                <w:p>
                  <w:pPr>
                    <w:pStyle w:val="Compact"/>
                    <w:jc w:val="right"/>
                    <w:jc w:val="center"/>
                  </w:pPr>
                  <w:r>
                    <w:t xml:space="preserve">2.84%</w:t>
                  </w:r>
                </w:p>
              </w:tc>
            </w:tr>
            <w:tr>
              <w:tc>
                <w:tcPr/>
                <w:p>
                  <w:pPr>
                    <w:pStyle w:val="Compact"/>
                    <w:jc w:val="left"/>
                    <w:jc w:val="center"/>
                  </w:pPr>
                  <w:r>
                    <w:t xml:space="preserve">Telefonia</w:t>
                  </w:r>
                </w:p>
              </w:tc>
              <w:tc>
                <w:tcPr/>
                <w:p>
                  <w:pPr>
                    <w:pStyle w:val="Compact"/>
                    <w:jc w:val="right"/>
                    <w:jc w:val="center"/>
                  </w:pPr>
                  <w:r>
                    <w:t xml:space="preserve">25575</w:t>
                  </w:r>
                </w:p>
              </w:tc>
              <w:tc>
                <w:tcPr/>
                <w:p>
                  <w:pPr>
                    <w:pStyle w:val="Compact"/>
                    <w:jc w:val="right"/>
                    <w:jc w:val="center"/>
                  </w:pPr>
                  <w:r>
                    <w:t xml:space="preserve">2.43%</w:t>
                  </w:r>
                </w:p>
              </w:tc>
            </w:tr>
            <w:tr>
              <w:tc>
                <w:tcPr/>
                <w:p>
                  <w:pPr>
                    <w:pStyle w:val="Compact"/>
                    <w:jc w:val="left"/>
                    <w:jc w:val="center"/>
                  </w:pPr>
                  <w:r>
                    <w:t xml:space="preserve">Outros</w:t>
                  </w:r>
                </w:p>
              </w:tc>
              <w:tc>
                <w:tcPr/>
                <w:p>
                  <w:pPr>
                    <w:pStyle w:val="Compact"/>
                    <w:jc w:val="right"/>
                    <w:jc w:val="center"/>
                  </w:pPr>
                  <w:r>
                    <w:t xml:space="preserve">227748</w:t>
                  </w:r>
                </w:p>
              </w:tc>
              <w:tc>
                <w:tcPr/>
                <w:p>
                  <w:pPr>
                    <w:pStyle w:val="Compact"/>
                    <w:jc w:val="right"/>
                    <w:jc w:val="center"/>
                  </w:pPr>
                  <w:r>
                    <w:t xml:space="preserve">21.61%</w:t>
                  </w:r>
                </w:p>
              </w:tc>
            </w:tr>
          </w:tbl>
          <w:bookmarkEnd w:id="45"/>
          <w:p/>
        </w:tc>
      </w:tr>
    </w:tbl>
    <w:bookmarkEnd w:id="46"/>
    <w:bookmarkStart w:id="67" w:name="Xdaed31ce40ccffce3ab54a808c2e0cc501d2122"/>
    <w:p>
      <w:pPr>
        <w:pStyle w:val="Ttulo3"/>
      </w:pPr>
      <w:r>
        <w:t xml:space="preserve">Houve algum impacto da pandemia na quantidade de reclamações e processos?</w:t>
      </w:r>
    </w:p>
    <w:p>
      <w:pPr>
        <w:pStyle w:val="FirstParagraph"/>
      </w:pPr>
      <w:r>
        <w:t xml:space="preserve">A</w:t>
      </w:r>
      <w:r>
        <w:t xml:space="preserve"> </w:t>
      </w:r>
      <w:hyperlink w:anchor="fig-tempo-cgov">
        <w:r>
          <w:rPr>
            <w:rStyle w:val="Hyperlink"/>
          </w:rPr>
          <w:t xml:space="preserve">Figure 4</w:t>
        </w:r>
      </w:hyperlink>
      <w:r>
        <w:t xml:space="preserve"> </w:t>
      </w:r>
      <w:r>
        <w:t xml:space="preserve">mostra a quantidade de reclamações por mês no CGOV. É possível identificar um aumento considerável na quantidade de ações desde o início da pandemia, que passou a reduzir somente a partir do segundo trimestre de 2022.</w:t>
      </w:r>
    </w:p>
    <w:tbl>
      <w:tblPr>
        <w:tblStyle w:val="Table"/>
        <w:tblW w:type="pct" w:w="5000"/>
        <w:tblLook w:firstRow="0" w:lastRow="0" w:firstColumn="0" w:lastColumn="0" w:noHBand="0" w:noVBand="0" w:val="0000"/>
        <w:jc w:val="start"/>
        <w:tblLayout w:type="fixed"/>
      </w:tblPr>
      <w:tblGrid>
        <w:gridCol w:w="7920"/>
      </w:tblGrid>
      <w:tr>
        <w:tc>
          <w:tcPr/>
          <w:bookmarkStart w:id="50" w:name="fig-tempo-cgov"/>
          <w:p>
            <w:pPr>
              <w:pStyle w:val="Compact"/>
              <w:jc w:val="center"/>
            </w:pPr>
            <w:r>
              <w:drawing>
                <wp:inline>
                  <wp:extent cx="4587290" cy="3669832"/>
                  <wp:effectExtent b="0" l="0" r="0" t="0"/>
                  <wp:docPr descr="" title="" id="48" name="Picture"/>
                  <a:graphic>
                    <a:graphicData uri="http://schemas.openxmlformats.org/drawingml/2006/picture">
                      <pic:pic>
                        <pic:nvPicPr>
                          <pic:cNvPr descr="relatorio_files/figure-docx/fig-tempo-cgov-1.png" id="49" name="Picture"/>
                          <pic:cNvPicPr>
                            <a:picLocks noChangeArrowheads="1" noChangeAspect="1"/>
                          </pic:cNvPicPr>
                        </pic:nvPicPr>
                        <pic:blipFill>
                          <a:blip r:embed="rId47"/>
                          <a:stretch>
                            <a:fillRect/>
                          </a:stretch>
                        </pic:blipFill>
                        <pic:spPr bwMode="auto">
                          <a:xfrm>
                            <a:off x="0" y="0"/>
                            <a:ext cx="4587290" cy="36698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Quantidade de reclamações por mês no CGOV</w:t>
            </w:r>
          </w:p>
          <w:bookmarkEnd w:id="50"/>
        </w:tc>
      </w:tr>
    </w:tbl>
    <w:p>
      <w:pPr>
        <w:pStyle w:val="Corpodetexto"/>
      </w:pPr>
      <w:r>
        <w:t xml:space="preserve">A</w:t>
      </w:r>
      <w:r>
        <w:t xml:space="preserve"> </w:t>
      </w:r>
      <w:hyperlink w:anchor="fig-tempo-cgov-assunto">
        <w:r>
          <w:rPr>
            <w:rStyle w:val="Hyperlink"/>
          </w:rPr>
          <w:t xml:space="preserve">Figure 5</w:t>
        </w:r>
      </w:hyperlink>
      <w:r>
        <w:t xml:space="preserve"> </w:t>
      </w:r>
      <w:r>
        <w:t xml:space="preserve">mostra a quantidade de reclamações por mês no CGOV, separando por grupo de problemas. É possível identificar picos de reclamações em diversos tipos de problemas na época da pandemia, especialmente problemas relacionados a cobrança de tarifas, dificuldade de troca, demora no atendmiento e demora na entrega.</w:t>
      </w:r>
    </w:p>
    <w:tbl>
      <w:tblPr>
        <w:tblStyle w:val="Table"/>
        <w:tblW w:type="pct" w:w="5000"/>
        <w:tblLook w:firstRow="0" w:lastRow="0" w:firstColumn="0" w:lastColumn="0" w:noHBand="0" w:noVBand="0" w:val="0000"/>
        <w:jc w:val="start"/>
        <w:tblLayout w:type="fixed"/>
      </w:tblPr>
      <w:tblGrid>
        <w:gridCol w:w="7920"/>
      </w:tblGrid>
      <w:tr>
        <w:tc>
          <w:tcPr/>
          <w:bookmarkStart w:id="54" w:name="fig-tempo-cgov-assunto"/>
          <w:p>
            <w:pPr>
              <w:pStyle w:val="Compact"/>
              <w:jc w:val="center"/>
            </w:pPr>
            <w:r>
              <w:drawing>
                <wp:inline>
                  <wp:extent cx="5969000" cy="6715125"/>
                  <wp:effectExtent b="0" l="0" r="0" t="0"/>
                  <wp:docPr descr="" title="" id="52" name="Picture"/>
                  <a:graphic>
                    <a:graphicData uri="http://schemas.openxmlformats.org/drawingml/2006/picture">
                      <pic:pic>
                        <pic:nvPicPr>
                          <pic:cNvPr descr="relatorio_files/figure-docx/fig-tempo-cgov-assunto-1.png" id="53" name="Picture"/>
                          <pic:cNvPicPr>
                            <a:picLocks noChangeArrowheads="1" noChangeAspect="1"/>
                          </pic:cNvPicPr>
                        </pic:nvPicPr>
                        <pic:blipFill>
                          <a:blip r:embed="rId51"/>
                          <a:stretch>
                            <a:fillRect/>
                          </a:stretch>
                        </pic:blipFill>
                        <pic:spPr bwMode="auto">
                          <a:xfrm>
                            <a:off x="0" y="0"/>
                            <a:ext cx="5969000" cy="67151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Quantidade de reclamações por mês e grupo de problemas no CGOV.</w:t>
            </w:r>
          </w:p>
          <w:bookmarkEnd w:id="54"/>
        </w:tc>
      </w:tr>
    </w:tbl>
    <w:p>
      <w:pPr>
        <w:pStyle w:val="Corpodetexto"/>
      </w:pPr>
      <w:r>
        <w:t xml:space="preserve">A</w:t>
      </w:r>
      <w:r>
        <w:t xml:space="preserve"> </w:t>
      </w:r>
      <w:hyperlink w:anchor="fig-tempo-sindec">
        <w:r>
          <w:rPr>
            <w:rStyle w:val="Hyperlink"/>
          </w:rPr>
          <w:t xml:space="preserve">Figure 6</w:t>
        </w:r>
      </w:hyperlink>
      <w:r>
        <w:t xml:space="preserve"> </w:t>
      </w:r>
      <w:r>
        <w:t xml:space="preserve">mostra a quantidade de reclamações por mês no SINDEC. É possível identificar um pico no início da pandemia, que foi estabilizado ao final de 2020 e reduziu drasticamente em meados de 2021, mantendo-se em um patamar mais baixo. A mudança abrupta em 2021 pode indicar que existem inconsistências na base de dados. Por esse motivo, não quebramos a análise por tipo de problema envolvido.</w:t>
      </w:r>
    </w:p>
    <w:tbl>
      <w:tblPr>
        <w:tblStyle w:val="Table"/>
        <w:tblW w:type="pct" w:w="5000"/>
        <w:tblLook w:firstRow="0" w:lastRow="0" w:firstColumn="0" w:lastColumn="0" w:noHBand="0" w:noVBand="0" w:val="0000"/>
        <w:jc w:val="start"/>
        <w:tblLayout w:type="fixed"/>
      </w:tblPr>
      <w:tblGrid>
        <w:gridCol w:w="7920"/>
      </w:tblGrid>
      <w:tr>
        <w:tc>
          <w:tcPr/>
          <w:bookmarkStart w:id="58" w:name="fig-tempo-sindec"/>
          <w:p>
            <w:pPr>
              <w:pStyle w:val="Compact"/>
              <w:jc w:val="center"/>
            </w:pPr>
            <w:r>
              <w:drawing>
                <wp:inline>
                  <wp:extent cx="4587290" cy="3669832"/>
                  <wp:effectExtent b="0" l="0" r="0" t="0"/>
                  <wp:docPr descr="" title="" id="56" name="Picture"/>
                  <a:graphic>
                    <a:graphicData uri="http://schemas.openxmlformats.org/drawingml/2006/picture">
                      <pic:pic>
                        <pic:nvPicPr>
                          <pic:cNvPr descr="relatorio_files/figure-docx/fig-tempo-sindec-1.png" id="57" name="Picture"/>
                          <pic:cNvPicPr>
                            <a:picLocks noChangeArrowheads="1" noChangeAspect="1"/>
                          </pic:cNvPicPr>
                        </pic:nvPicPr>
                        <pic:blipFill>
                          <a:blip r:embed="rId55"/>
                          <a:stretch>
                            <a:fillRect/>
                          </a:stretch>
                        </pic:blipFill>
                        <pic:spPr bwMode="auto">
                          <a:xfrm>
                            <a:off x="0" y="0"/>
                            <a:ext cx="4587290" cy="36698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Quantidade de reclamações por mês no SINDEC</w:t>
            </w:r>
          </w:p>
          <w:bookmarkEnd w:id="58"/>
        </w:tc>
      </w:tr>
    </w:tbl>
    <w:p>
      <w:pPr>
        <w:pStyle w:val="Corpodetexto"/>
      </w:pPr>
      <w:r>
        <w:t xml:space="preserve">A</w:t>
      </w:r>
      <w:r>
        <w:t xml:space="preserve"> </w:t>
      </w:r>
      <w:hyperlink w:anchor="fig-tempo-tjsp">
        <w:r>
          <w:rPr>
            <w:rStyle w:val="Hyperlink"/>
          </w:rPr>
          <w:t xml:space="preserve">Figure 7</w:t>
        </w:r>
      </w:hyperlink>
      <w:r>
        <w:t xml:space="preserve"> </w:t>
      </w:r>
      <w:r>
        <w:t xml:space="preserve">mostra o volume de processos ao longo do tempo no TJSP. Descritivamente, é possível notar que a quantidade de processos em 2020 e 2021 sofreu uma leve queda. Importante mencionar o caráter sazonal da série, já que existem meses do ano que sistematicamente apresentam um volume maior ou menor de processos.</w:t>
      </w:r>
    </w:p>
    <w:tbl>
      <w:tblPr>
        <w:tblStyle w:val="Table"/>
        <w:tblW w:type="pct" w:w="5000"/>
        <w:tblLook w:firstRow="0" w:lastRow="0" w:firstColumn="0" w:lastColumn="0" w:noHBand="0" w:noVBand="0" w:val="0000"/>
        <w:jc w:val="start"/>
        <w:tblLayout w:type="fixed"/>
      </w:tblPr>
      <w:tblGrid>
        <w:gridCol w:w="7920"/>
      </w:tblGrid>
      <w:tr>
        <w:tc>
          <w:tcPr/>
          <w:bookmarkStart w:id="62" w:name="fig-tempo-tjsp"/>
          <w:p>
            <w:pPr>
              <w:pStyle w:val="Compact"/>
              <w:jc w:val="center"/>
            </w:pPr>
            <w:r>
              <w:drawing>
                <wp:inline>
                  <wp:extent cx="4587290" cy="3669832"/>
                  <wp:effectExtent b="0" l="0" r="0" t="0"/>
                  <wp:docPr descr="" title="" id="60" name="Picture"/>
                  <a:graphic>
                    <a:graphicData uri="http://schemas.openxmlformats.org/drawingml/2006/picture">
                      <pic:pic>
                        <pic:nvPicPr>
                          <pic:cNvPr descr="relatorio_files/figure-docx/fig-tempo-tjsp-1.png" id="61" name="Picture"/>
                          <pic:cNvPicPr>
                            <a:picLocks noChangeArrowheads="1" noChangeAspect="1"/>
                          </pic:cNvPicPr>
                        </pic:nvPicPr>
                        <pic:blipFill>
                          <a:blip r:embed="rId59"/>
                          <a:stretch>
                            <a:fillRect/>
                          </a:stretch>
                        </pic:blipFill>
                        <pic:spPr bwMode="auto">
                          <a:xfrm>
                            <a:off x="0" y="0"/>
                            <a:ext cx="4587290" cy="36698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Quantidade de processos por mês no TJSP.</w:t>
            </w:r>
          </w:p>
          <w:bookmarkEnd w:id="62"/>
        </w:tc>
      </w:tr>
    </w:tbl>
    <w:p>
      <w:pPr>
        <w:pStyle w:val="Corpodetexto"/>
      </w:pPr>
      <w:r>
        <w:t xml:space="preserve">A</w:t>
      </w:r>
      <w:r>
        <w:t xml:space="preserve"> </w:t>
      </w:r>
      <w:hyperlink w:anchor="fig-tempo-tjsp-assunto">
        <w:r>
          <w:rPr>
            <w:rStyle w:val="Hyperlink"/>
          </w:rPr>
          <w:t xml:space="preserve">Figure 8</w:t>
        </w:r>
      </w:hyperlink>
      <w:r>
        <w:t xml:space="preserve"> </w:t>
      </w:r>
      <w:r>
        <w:t xml:space="preserve">mostra o volume de processos ao longo do tempo no TJSP, separando por assunto. É possível notar que a quantidade de decisões relacionadas a telefonia e planos de saúde vêm caindo significativamente. Além disso, é possível notar que o volume de decisões relacionadas a transporte aéreo aumentou no período da pandemia, mas os de cancelamento de vôo aumentaram apenas em 2022.</w:t>
      </w:r>
    </w:p>
    <w:tbl>
      <w:tblPr>
        <w:tblStyle w:val="Table"/>
        <w:tblW w:type="pct" w:w="5000"/>
        <w:tblLook w:firstRow="0" w:lastRow="0" w:firstColumn="0" w:lastColumn="0" w:noHBand="0" w:noVBand="0" w:val="0000"/>
        <w:jc w:val="start"/>
        <w:tblLayout w:type="fixed"/>
      </w:tblPr>
      <w:tblGrid>
        <w:gridCol w:w="7920"/>
      </w:tblGrid>
      <w:tr>
        <w:tc>
          <w:tcPr/>
          <w:bookmarkStart w:id="66" w:name="fig-tempo-tjsp-assunto"/>
          <w:p>
            <w:pPr>
              <w:pStyle w:val="Compact"/>
              <w:jc w:val="center"/>
            </w:pPr>
            <w:r>
              <w:drawing>
                <wp:inline>
                  <wp:extent cx="5969000" cy="6715125"/>
                  <wp:effectExtent b="0" l="0" r="0" t="0"/>
                  <wp:docPr descr="" title="" id="64" name="Picture"/>
                  <a:graphic>
                    <a:graphicData uri="http://schemas.openxmlformats.org/drawingml/2006/picture">
                      <pic:pic>
                        <pic:nvPicPr>
                          <pic:cNvPr descr="relatorio_files/figure-docx/fig-tempo-tjsp-assunto-1.png" id="65" name="Picture"/>
                          <pic:cNvPicPr>
                            <a:picLocks noChangeArrowheads="1" noChangeAspect="1"/>
                          </pic:cNvPicPr>
                        </pic:nvPicPr>
                        <pic:blipFill>
                          <a:blip r:embed="rId63"/>
                          <a:stretch>
                            <a:fillRect/>
                          </a:stretch>
                        </pic:blipFill>
                        <pic:spPr bwMode="auto">
                          <a:xfrm>
                            <a:off x="0" y="0"/>
                            <a:ext cx="5969000" cy="67151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Quantidade de processos por mês no TJSP por assunto.</w:t>
            </w:r>
          </w:p>
          <w:bookmarkEnd w:id="66"/>
        </w:tc>
      </w:tr>
    </w:tbl>
    <w:bookmarkEnd w:id="67"/>
    <w:bookmarkStart w:id="73" w:name="X7450176124e264b02dc535f5e3c0c060df206b5"/>
    <w:p>
      <w:pPr>
        <w:pStyle w:val="Ttulo3"/>
      </w:pPr>
      <w:r>
        <w:t xml:space="preserve">Quais são os maiores litigantes e tipos empresariais mais comuns nas reclamações e processos?</w:t>
      </w:r>
    </w:p>
    <w:p>
      <w:pPr>
        <w:pStyle w:val="FirstParagraph"/>
      </w:pPr>
      <w:r>
        <w:t xml:space="preserve">A</w:t>
      </w:r>
      <w:r>
        <w:t xml:space="preserve"> </w:t>
      </w:r>
      <w:hyperlink w:anchor="tbl-empresas-cgov">
        <w:r>
          <w:rPr>
            <w:rStyle w:val="Hyperlink"/>
          </w:rPr>
          <w:t xml:space="preserve">Table 4</w:t>
        </w:r>
      </w:hyperlink>
      <w:r>
        <w:t xml:space="preserve"> </w:t>
      </w:r>
      <w:r>
        <w:t xml:space="preserve">mostra as 10 empresas mais reclamadas na base do CGOV. As empresas mais reclamadas são as de telefonia, além do Serasa.</w:t>
      </w:r>
    </w:p>
    <w:tbl>
      <w:tblPr>
        <w:tblStyle w:val="Table"/>
        <w:tblW w:type="pct" w:w="5000"/>
        <w:tblLook w:firstRow="0" w:lastRow="0" w:firstColumn="0" w:lastColumn="0" w:noHBand="0" w:noVBand="0" w:val="0000"/>
        <w:jc w:val="start"/>
        <w:tblLayout w:type="fixed"/>
      </w:tblPr>
      <w:tblGrid>
        <w:gridCol w:w="7920"/>
      </w:tblGrid>
      <w:tr>
        <w:tc>
          <w:tcPr/>
          <w:bookmarkStart w:id="68" w:name="tbl-empresas-cgov"/>
          <w:p>
            <w:pPr>
              <w:jc w:val="center"/>
            </w:pPr>
            <w:pPr>
              <w:jc w:val="start"/>
              <w:spacing w:before="200"/>
              <w:pStyle w:val="ImageCaption"/>
            </w:pPr>
            <w:r>
              <w:t xml:space="preserve">Table 4: Empresas mais reclamadas no CGOV.</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jc w:val="center"/>
                  </w:pPr>
                  <w:r>
                    <w:t xml:space="preserve">nome_fantasia</w:t>
                  </w:r>
                </w:p>
              </w:tc>
              <w:tc>
                <w:tcPr/>
                <w:p>
                  <w:pPr>
                    <w:pStyle w:val="Compact"/>
                    <w:jc w:val="right"/>
                    <w:jc w:val="center"/>
                  </w:pPr>
                  <w:r>
                    <w:t xml:space="preserve">n</w:t>
                  </w:r>
                </w:p>
              </w:tc>
              <w:tc>
                <w:tcPr/>
                <w:p>
                  <w:pPr>
                    <w:pStyle w:val="Compact"/>
                    <w:jc w:val="right"/>
                    <w:jc w:val="center"/>
                  </w:pPr>
                  <w:r>
                    <w:t xml:space="preserve">prop</w:t>
                  </w:r>
                </w:p>
              </w:tc>
            </w:tr>
            <w:tr>
              <w:tc>
                <w:tcPr/>
                <w:p>
                  <w:pPr>
                    <w:pStyle w:val="Compact"/>
                    <w:jc w:val="left"/>
                    <w:jc w:val="center"/>
                  </w:pPr>
                  <w:r>
                    <w:t xml:space="preserve">Claro Celular</w:t>
                  </w:r>
                </w:p>
              </w:tc>
              <w:tc>
                <w:tcPr/>
                <w:p>
                  <w:pPr>
                    <w:pStyle w:val="Compact"/>
                    <w:jc w:val="right"/>
                    <w:jc w:val="center"/>
                  </w:pPr>
                  <w:r>
                    <w:t xml:space="preserve">48370</w:t>
                  </w:r>
                </w:p>
              </w:tc>
              <w:tc>
                <w:tcPr/>
                <w:p>
                  <w:pPr>
                    <w:pStyle w:val="Compact"/>
                    <w:jc w:val="right"/>
                    <w:jc w:val="center"/>
                  </w:pPr>
                  <w:r>
                    <w:t xml:space="preserve">4.02%</w:t>
                  </w:r>
                </w:p>
              </w:tc>
            </w:tr>
            <w:tr>
              <w:tc>
                <w:tcPr/>
                <w:p>
                  <w:pPr>
                    <w:pStyle w:val="Compact"/>
                    <w:jc w:val="left"/>
                    <w:jc w:val="center"/>
                  </w:pPr>
                  <w:r>
                    <w:t xml:space="preserve">Serasa Experian</w:t>
                  </w:r>
                </w:p>
              </w:tc>
              <w:tc>
                <w:tcPr/>
                <w:p>
                  <w:pPr>
                    <w:pStyle w:val="Compact"/>
                    <w:jc w:val="right"/>
                    <w:jc w:val="center"/>
                  </w:pPr>
                  <w:r>
                    <w:t xml:space="preserve">47736</w:t>
                  </w:r>
                </w:p>
              </w:tc>
              <w:tc>
                <w:tcPr/>
                <w:p>
                  <w:pPr>
                    <w:pStyle w:val="Compact"/>
                    <w:jc w:val="right"/>
                    <w:jc w:val="center"/>
                  </w:pPr>
                  <w:r>
                    <w:t xml:space="preserve">3.97%</w:t>
                  </w:r>
                </w:p>
              </w:tc>
            </w:tr>
            <w:tr>
              <w:tc>
                <w:tcPr/>
                <w:p>
                  <w:pPr>
                    <w:pStyle w:val="Compact"/>
                    <w:jc w:val="left"/>
                    <w:jc w:val="center"/>
                  </w:pPr>
                  <w:r>
                    <w:t xml:space="preserve">Tim</w:t>
                  </w:r>
                </w:p>
              </w:tc>
              <w:tc>
                <w:tcPr/>
                <w:p>
                  <w:pPr>
                    <w:pStyle w:val="Compact"/>
                    <w:jc w:val="right"/>
                    <w:jc w:val="center"/>
                  </w:pPr>
                  <w:r>
                    <w:t xml:space="preserve">46831</w:t>
                  </w:r>
                </w:p>
              </w:tc>
              <w:tc>
                <w:tcPr/>
                <w:p>
                  <w:pPr>
                    <w:pStyle w:val="Compact"/>
                    <w:jc w:val="right"/>
                    <w:jc w:val="center"/>
                  </w:pPr>
                  <w:r>
                    <w:t xml:space="preserve">3.89%</w:t>
                  </w:r>
                </w:p>
              </w:tc>
            </w:tr>
            <w:tr>
              <w:tc>
                <w:tcPr/>
                <w:p>
                  <w:pPr>
                    <w:pStyle w:val="Compact"/>
                    <w:jc w:val="left"/>
                    <w:jc w:val="center"/>
                  </w:pPr>
                  <w:r>
                    <w:t xml:space="preserve">Vivo - Telefônica</w:t>
                  </w:r>
                </w:p>
              </w:tc>
              <w:tc>
                <w:tcPr/>
                <w:p>
                  <w:pPr>
                    <w:pStyle w:val="Compact"/>
                    <w:jc w:val="right"/>
                    <w:jc w:val="center"/>
                  </w:pPr>
                  <w:r>
                    <w:t xml:space="preserve">46079</w:t>
                  </w:r>
                </w:p>
              </w:tc>
              <w:tc>
                <w:tcPr/>
                <w:p>
                  <w:pPr>
                    <w:pStyle w:val="Compact"/>
                    <w:jc w:val="right"/>
                    <w:jc w:val="center"/>
                  </w:pPr>
                  <w:r>
                    <w:t xml:space="preserve">3.83%</w:t>
                  </w:r>
                </w:p>
              </w:tc>
            </w:tr>
            <w:tr>
              <w:tc>
                <w:tcPr/>
                <w:p>
                  <w:pPr>
                    <w:pStyle w:val="Compact"/>
                    <w:jc w:val="left"/>
                    <w:jc w:val="center"/>
                  </w:pPr>
                  <w:r>
                    <w:t xml:space="preserve">Mercado Livre</w:t>
                  </w:r>
                </w:p>
              </w:tc>
              <w:tc>
                <w:tcPr/>
                <w:p>
                  <w:pPr>
                    <w:pStyle w:val="Compact"/>
                    <w:jc w:val="right"/>
                    <w:jc w:val="center"/>
                  </w:pPr>
                  <w:r>
                    <w:t xml:space="preserve">39791</w:t>
                  </w:r>
                </w:p>
              </w:tc>
              <w:tc>
                <w:tcPr/>
                <w:p>
                  <w:pPr>
                    <w:pStyle w:val="Compact"/>
                    <w:jc w:val="right"/>
                    <w:jc w:val="center"/>
                  </w:pPr>
                  <w:r>
                    <w:t xml:space="preserve">3.31%</w:t>
                  </w:r>
                </w:p>
              </w:tc>
            </w:tr>
            <w:tr>
              <w:tc>
                <w:tcPr/>
                <w:p>
                  <w:pPr>
                    <w:pStyle w:val="Compact"/>
                    <w:jc w:val="left"/>
                    <w:jc w:val="center"/>
                  </w:pPr>
                  <w:r>
                    <w:t xml:space="preserve">NET</w:t>
                  </w:r>
                </w:p>
              </w:tc>
              <w:tc>
                <w:tcPr/>
                <w:p>
                  <w:pPr>
                    <w:pStyle w:val="Compact"/>
                    <w:jc w:val="right"/>
                    <w:jc w:val="center"/>
                  </w:pPr>
                  <w:r>
                    <w:t xml:space="preserve">35987</w:t>
                  </w:r>
                </w:p>
              </w:tc>
              <w:tc>
                <w:tcPr/>
                <w:p>
                  <w:pPr>
                    <w:pStyle w:val="Compact"/>
                    <w:jc w:val="right"/>
                    <w:jc w:val="center"/>
                  </w:pPr>
                  <w:r>
                    <w:t xml:space="preserve">2.99%</w:t>
                  </w:r>
                </w:p>
              </w:tc>
            </w:tr>
            <w:tr>
              <w:tc>
                <w:tcPr/>
                <w:p>
                  <w:pPr>
                    <w:pStyle w:val="Compact"/>
                    <w:jc w:val="left"/>
                    <w:jc w:val="center"/>
                  </w:pPr>
                  <w:r>
                    <w:t xml:space="preserve">Mercado Pago</w:t>
                  </w:r>
                </w:p>
              </w:tc>
              <w:tc>
                <w:tcPr/>
                <w:p>
                  <w:pPr>
                    <w:pStyle w:val="Compact"/>
                    <w:jc w:val="right"/>
                    <w:jc w:val="center"/>
                  </w:pPr>
                  <w:r>
                    <w:t xml:space="preserve">33271</w:t>
                  </w:r>
                </w:p>
              </w:tc>
              <w:tc>
                <w:tcPr/>
                <w:p>
                  <w:pPr>
                    <w:pStyle w:val="Compact"/>
                    <w:jc w:val="right"/>
                    <w:jc w:val="center"/>
                  </w:pPr>
                  <w:r>
                    <w:t xml:space="preserve">2.77%</w:t>
                  </w:r>
                </w:p>
              </w:tc>
            </w:tr>
            <w:tr>
              <w:tc>
                <w:tcPr/>
                <w:p>
                  <w:pPr>
                    <w:pStyle w:val="Compact"/>
                    <w:jc w:val="left"/>
                    <w:jc w:val="center"/>
                  </w:pPr>
                  <w:r>
                    <w:t xml:space="preserve">Vivo - Telefônica (GVT)</w:t>
                  </w:r>
                </w:p>
              </w:tc>
              <w:tc>
                <w:tcPr/>
                <w:p>
                  <w:pPr>
                    <w:pStyle w:val="Compact"/>
                    <w:jc w:val="right"/>
                    <w:jc w:val="center"/>
                  </w:pPr>
                  <w:r>
                    <w:t xml:space="preserve">31284</w:t>
                  </w:r>
                </w:p>
              </w:tc>
              <w:tc>
                <w:tcPr/>
                <w:p>
                  <w:pPr>
                    <w:pStyle w:val="Compact"/>
                    <w:jc w:val="right"/>
                    <w:jc w:val="center"/>
                  </w:pPr>
                  <w:r>
                    <w:t xml:space="preserve">2.60%</w:t>
                  </w:r>
                </w:p>
              </w:tc>
            </w:tr>
            <w:tr>
              <w:tc>
                <w:tcPr/>
                <w:p>
                  <w:pPr>
                    <w:pStyle w:val="Compact"/>
                    <w:jc w:val="left"/>
                    <w:jc w:val="center"/>
                  </w:pPr>
                  <w:r>
                    <w:t xml:space="preserve">Enel Distribuição São Paulo (Eletropaulo)</w:t>
                  </w:r>
                </w:p>
              </w:tc>
              <w:tc>
                <w:tcPr/>
                <w:p>
                  <w:pPr>
                    <w:pStyle w:val="Compact"/>
                    <w:jc w:val="right"/>
                    <w:jc w:val="center"/>
                  </w:pPr>
                  <w:r>
                    <w:t xml:space="preserve">30386</w:t>
                  </w:r>
                </w:p>
              </w:tc>
              <w:tc>
                <w:tcPr/>
                <w:p>
                  <w:pPr>
                    <w:pStyle w:val="Compact"/>
                    <w:jc w:val="right"/>
                    <w:jc w:val="center"/>
                  </w:pPr>
                  <w:r>
                    <w:t xml:space="preserve">2.53%</w:t>
                  </w:r>
                </w:p>
              </w:tc>
            </w:tr>
            <w:tr>
              <w:tc>
                <w:tcPr/>
                <w:p>
                  <w:pPr>
                    <w:pStyle w:val="Compact"/>
                    <w:jc w:val="left"/>
                    <w:jc w:val="center"/>
                  </w:pPr>
                  <w:r>
                    <w:t xml:space="preserve">Caixa Econômica Federal</w:t>
                  </w:r>
                </w:p>
              </w:tc>
              <w:tc>
                <w:tcPr/>
                <w:p>
                  <w:pPr>
                    <w:pStyle w:val="Compact"/>
                    <w:jc w:val="right"/>
                    <w:jc w:val="center"/>
                  </w:pPr>
                  <w:r>
                    <w:t xml:space="preserve">29351</w:t>
                  </w:r>
                </w:p>
              </w:tc>
              <w:tc>
                <w:tcPr/>
                <w:p>
                  <w:pPr>
                    <w:pStyle w:val="Compact"/>
                    <w:jc w:val="right"/>
                    <w:jc w:val="center"/>
                  </w:pPr>
                  <w:r>
                    <w:t xml:space="preserve">2.44%</w:t>
                  </w:r>
                </w:p>
              </w:tc>
            </w:tr>
            <w:tr>
              <w:tc>
                <w:tcPr/>
                <w:p>
                  <w:pPr>
                    <w:pStyle w:val="Compact"/>
                    <w:jc w:val="left"/>
                    <w:jc w:val="center"/>
                  </w:pPr>
                  <w:r>
                    <w:t xml:space="preserve">Outros</w:t>
                  </w:r>
                </w:p>
              </w:tc>
              <w:tc>
                <w:tcPr/>
                <w:p>
                  <w:pPr>
                    <w:pStyle w:val="Compact"/>
                    <w:jc w:val="right"/>
                    <w:jc w:val="center"/>
                  </w:pPr>
                  <w:r>
                    <w:t xml:space="preserve">814028</w:t>
                  </w:r>
                </w:p>
              </w:tc>
              <w:tc>
                <w:tcPr/>
                <w:p>
                  <w:pPr>
                    <w:pStyle w:val="Compact"/>
                    <w:jc w:val="right"/>
                    <w:jc w:val="center"/>
                  </w:pPr>
                  <w:r>
                    <w:t xml:space="preserve">67.66%</w:t>
                  </w:r>
                </w:p>
              </w:tc>
            </w:tr>
          </w:tbl>
          <w:bookmarkEnd w:id="68"/>
          <w:p/>
        </w:tc>
      </w:tr>
    </w:tbl>
    <w:p>
      <w:pPr>
        <w:pStyle w:val="Corpodetexto"/>
      </w:pPr>
      <w:r>
        <w:t xml:space="preserve">A</w:t>
      </w:r>
      <w:r>
        <w:t xml:space="preserve"> </w:t>
      </w:r>
      <w:hyperlink w:anchor="tbl-segmentos-cgov">
        <w:r>
          <w:rPr>
            <w:rStyle w:val="Hyperlink"/>
          </w:rPr>
          <w:t xml:space="preserve">Table 5</w:t>
        </w:r>
      </w:hyperlink>
      <w:r>
        <w:t xml:space="preserve"> </w:t>
      </w:r>
      <w:r>
        <w:t xml:space="preserve">mostra os segmentos mais reclamados na base do CGOV. Somando todos os casos, os segmentos mais reclamados são bancos e empresas de telefonia, que concentram quase metade das reclamações.</w:t>
      </w:r>
    </w:p>
    <w:tbl>
      <w:tblPr>
        <w:tblStyle w:val="Table"/>
        <w:tblW w:type="pct" w:w="5000"/>
        <w:tblLook w:firstRow="0" w:lastRow="0" w:firstColumn="0" w:lastColumn="0" w:noHBand="0" w:noVBand="0" w:val="0000"/>
        <w:jc w:val="start"/>
        <w:tblLayout w:type="fixed"/>
      </w:tblPr>
      <w:tblGrid>
        <w:gridCol w:w="7920"/>
      </w:tblGrid>
      <w:tr>
        <w:tc>
          <w:tcPr/>
          <w:bookmarkStart w:id="69" w:name="tbl-segmentos-cgov"/>
          <w:p>
            <w:pPr>
              <w:jc w:val="center"/>
            </w:pPr>
            <w:pPr>
              <w:jc w:val="start"/>
              <w:spacing w:before="200"/>
              <w:pStyle w:val="ImageCaption"/>
            </w:pPr>
            <w:r>
              <w:t xml:space="preserve">Table 5: Segmentos mais reclamados no CGOV.</w:t>
            </w:r>
          </w:p>
          <w:tbl>
            <w:tblPr>
              <w:tblStyle w:val="Table"/>
              <w:tblW w:type="pct" w:w="5000"/>
              <w:tblLook w:firstRow="1" w:lastRow="0" w:firstColumn="0" w:lastColumn="0" w:noHBand="0" w:noVBand="0" w:val="0020"/>
              <w:jc w:val="start"/>
              <w:tblLayout w:type="fixed"/>
            </w:tblPr>
            <w:tblGrid>
              <w:gridCol w:w="6630"/>
              <w:gridCol w:w="644"/>
              <w:gridCol w:w="644"/>
            </w:tblGrid>
            <w:tr>
              <w:trPr>
                <w:tblHeader w:val="true"/>
              </w:trPr>
              <w:tc>
                <w:tcPr/>
                <w:p>
                  <w:pPr>
                    <w:pStyle w:val="Compact"/>
                    <w:jc w:val="left"/>
                    <w:jc w:val="center"/>
                  </w:pPr>
                  <w:r>
                    <w:t xml:space="preserve">segmento_de_mercado</w:t>
                  </w:r>
                </w:p>
              </w:tc>
              <w:tc>
                <w:tcPr/>
                <w:p>
                  <w:pPr>
                    <w:pStyle w:val="Compact"/>
                    <w:jc w:val="right"/>
                    <w:jc w:val="center"/>
                  </w:pPr>
                  <w:r>
                    <w:t xml:space="preserve">n</w:t>
                  </w:r>
                </w:p>
              </w:tc>
              <w:tc>
                <w:tcPr/>
                <w:p>
                  <w:pPr>
                    <w:pStyle w:val="Compact"/>
                    <w:jc w:val="right"/>
                    <w:jc w:val="center"/>
                  </w:pPr>
                  <w:r>
                    <w:t xml:space="preserve">prop</w:t>
                  </w:r>
                </w:p>
              </w:tc>
            </w:tr>
            <w:tr>
              <w:tc>
                <w:tcPr/>
                <w:p>
                  <w:pPr>
                    <w:pStyle w:val="Compact"/>
                    <w:jc w:val="left"/>
                    <w:jc w:val="center"/>
                  </w:pPr>
                  <w:r>
                    <w:t xml:space="preserve">Bancos, Financeiras e Administradoras de Cartão</w:t>
                  </w:r>
                </w:p>
              </w:tc>
              <w:tc>
                <w:tcPr/>
                <w:p>
                  <w:pPr>
                    <w:pStyle w:val="Compact"/>
                    <w:jc w:val="right"/>
                    <w:jc w:val="center"/>
                  </w:pPr>
                  <w:r>
                    <w:t xml:space="preserve">293474</w:t>
                  </w:r>
                </w:p>
              </w:tc>
              <w:tc>
                <w:tcPr/>
                <w:p>
                  <w:pPr>
                    <w:pStyle w:val="Compact"/>
                    <w:jc w:val="right"/>
                    <w:jc w:val="center"/>
                  </w:pPr>
                  <w:r>
                    <w:t xml:space="preserve">24.39%</w:t>
                  </w:r>
                </w:p>
              </w:tc>
            </w:tr>
            <w:tr>
              <w:tc>
                <w:tcPr/>
                <w:p>
                  <w:pPr>
                    <w:pStyle w:val="Compact"/>
                    <w:jc w:val="left"/>
                    <w:jc w:val="center"/>
                  </w:pPr>
                  <w:r>
                    <w:t xml:space="preserve">Operadoras de Telecomunicações (Telefonia, Internet, TV por assinatura)</w:t>
                  </w:r>
                </w:p>
              </w:tc>
              <w:tc>
                <w:tcPr/>
                <w:p>
                  <w:pPr>
                    <w:pStyle w:val="Compact"/>
                    <w:jc w:val="right"/>
                    <w:jc w:val="center"/>
                  </w:pPr>
                  <w:r>
                    <w:t xml:space="preserve">268074</w:t>
                  </w:r>
                </w:p>
              </w:tc>
              <w:tc>
                <w:tcPr/>
                <w:p>
                  <w:pPr>
                    <w:pStyle w:val="Compact"/>
                    <w:jc w:val="right"/>
                    <w:jc w:val="center"/>
                  </w:pPr>
                  <w:r>
                    <w:t xml:space="preserve">22.28%</w:t>
                  </w:r>
                </w:p>
              </w:tc>
            </w:tr>
            <w:tr>
              <w:tc>
                <w:tcPr/>
                <w:p>
                  <w:pPr>
                    <w:pStyle w:val="Compact"/>
                    <w:jc w:val="left"/>
                    <w:jc w:val="center"/>
                  </w:pPr>
                  <w:r>
                    <w:t xml:space="preserve">Comércio Eletrônico</w:t>
                  </w:r>
                </w:p>
              </w:tc>
              <w:tc>
                <w:tcPr/>
                <w:p>
                  <w:pPr>
                    <w:pStyle w:val="Compact"/>
                    <w:jc w:val="right"/>
                    <w:jc w:val="center"/>
                  </w:pPr>
                  <w:r>
                    <w:t xml:space="preserve">114915</w:t>
                  </w:r>
                </w:p>
              </w:tc>
              <w:tc>
                <w:tcPr/>
                <w:p>
                  <w:pPr>
                    <w:pStyle w:val="Compact"/>
                    <w:jc w:val="right"/>
                    <w:jc w:val="center"/>
                  </w:pPr>
                  <w:r>
                    <w:t xml:space="preserve">9.55%</w:t>
                  </w:r>
                </w:p>
              </w:tc>
            </w:tr>
            <w:tr>
              <w:tc>
                <w:tcPr/>
                <w:p>
                  <w:pPr>
                    <w:pStyle w:val="Compact"/>
                    <w:jc w:val="left"/>
                    <w:jc w:val="center"/>
                  </w:pPr>
                  <w:r>
                    <w:t xml:space="preserve">Transporte Aéreo</w:t>
                  </w:r>
                </w:p>
              </w:tc>
              <w:tc>
                <w:tcPr/>
                <w:p>
                  <w:pPr>
                    <w:pStyle w:val="Compact"/>
                    <w:jc w:val="right"/>
                    <w:jc w:val="center"/>
                  </w:pPr>
                  <w:r>
                    <w:t xml:space="preserve">79798</w:t>
                  </w:r>
                </w:p>
              </w:tc>
              <w:tc>
                <w:tcPr/>
                <w:p>
                  <w:pPr>
                    <w:pStyle w:val="Compact"/>
                    <w:jc w:val="right"/>
                    <w:jc w:val="center"/>
                  </w:pPr>
                  <w:r>
                    <w:t xml:space="preserve">6.63%</w:t>
                  </w:r>
                </w:p>
              </w:tc>
            </w:tr>
            <w:tr>
              <w:tc>
                <w:tcPr/>
                <w:p>
                  <w:pPr>
                    <w:pStyle w:val="Compact"/>
                    <w:jc w:val="left"/>
                    <w:jc w:val="center"/>
                  </w:pPr>
                  <w:r>
                    <w:t xml:space="preserve">Empresas de Intermediação de Serviços / Negócios</w:t>
                  </w:r>
                </w:p>
              </w:tc>
              <w:tc>
                <w:tcPr/>
                <w:p>
                  <w:pPr>
                    <w:pStyle w:val="Compact"/>
                    <w:jc w:val="right"/>
                    <w:jc w:val="center"/>
                  </w:pPr>
                  <w:r>
                    <w:t xml:space="preserve">57568</w:t>
                  </w:r>
                </w:p>
              </w:tc>
              <w:tc>
                <w:tcPr/>
                <w:p>
                  <w:pPr>
                    <w:pStyle w:val="Compact"/>
                    <w:jc w:val="right"/>
                    <w:jc w:val="center"/>
                  </w:pPr>
                  <w:r>
                    <w:t xml:space="preserve">4.78%</w:t>
                  </w:r>
                </w:p>
              </w:tc>
            </w:tr>
            <w:tr>
              <w:tc>
                <w:tcPr/>
                <w:p>
                  <w:pPr>
                    <w:pStyle w:val="Compact"/>
                    <w:jc w:val="left"/>
                    <w:jc w:val="center"/>
                  </w:pPr>
                  <w:r>
                    <w:t xml:space="preserve">Bancos de Dados e Cadastros de Consumidores</w:t>
                  </w:r>
                </w:p>
              </w:tc>
              <w:tc>
                <w:tcPr/>
                <w:p>
                  <w:pPr>
                    <w:pStyle w:val="Compact"/>
                    <w:jc w:val="right"/>
                    <w:jc w:val="center"/>
                  </w:pPr>
                  <w:r>
                    <w:t xml:space="preserve">55412</w:t>
                  </w:r>
                </w:p>
              </w:tc>
              <w:tc>
                <w:tcPr/>
                <w:p>
                  <w:pPr>
                    <w:pStyle w:val="Compact"/>
                    <w:jc w:val="right"/>
                    <w:jc w:val="center"/>
                  </w:pPr>
                  <w:r>
                    <w:t xml:space="preserve">4.61%</w:t>
                  </w:r>
                </w:p>
              </w:tc>
            </w:tr>
            <w:tr>
              <w:tc>
                <w:tcPr/>
                <w:p>
                  <w:pPr>
                    <w:pStyle w:val="Compact"/>
                    <w:jc w:val="left"/>
                    <w:jc w:val="center"/>
                  </w:pPr>
                  <w:r>
                    <w:t xml:space="preserve">Empresas de Pagamento Eletrônico</w:t>
                  </w:r>
                </w:p>
              </w:tc>
              <w:tc>
                <w:tcPr/>
                <w:p>
                  <w:pPr>
                    <w:pStyle w:val="Compact"/>
                    <w:jc w:val="right"/>
                    <w:jc w:val="center"/>
                  </w:pPr>
                  <w:r>
                    <w:t xml:space="preserve">54785</w:t>
                  </w:r>
                </w:p>
              </w:tc>
              <w:tc>
                <w:tcPr/>
                <w:p>
                  <w:pPr>
                    <w:pStyle w:val="Compact"/>
                    <w:jc w:val="right"/>
                    <w:jc w:val="center"/>
                  </w:pPr>
                  <w:r>
                    <w:t xml:space="preserve">4.55%</w:t>
                  </w:r>
                </w:p>
              </w:tc>
            </w:tr>
            <w:tr>
              <w:tc>
                <w:tcPr/>
                <w:p>
                  <w:pPr>
                    <w:pStyle w:val="Compact"/>
                    <w:jc w:val="left"/>
                    <w:jc w:val="center"/>
                  </w:pPr>
                  <w:r>
                    <w:t xml:space="preserve">Energia Elétrica</w:t>
                  </w:r>
                </w:p>
              </w:tc>
              <w:tc>
                <w:tcPr/>
                <w:p>
                  <w:pPr>
                    <w:pStyle w:val="Compact"/>
                    <w:jc w:val="right"/>
                    <w:jc w:val="center"/>
                  </w:pPr>
                  <w:r>
                    <w:t xml:space="preserve">41654</w:t>
                  </w:r>
                </w:p>
              </w:tc>
              <w:tc>
                <w:tcPr/>
                <w:p>
                  <w:pPr>
                    <w:pStyle w:val="Compact"/>
                    <w:jc w:val="right"/>
                    <w:jc w:val="center"/>
                  </w:pPr>
                  <w:r>
                    <w:t xml:space="preserve">3.46%</w:t>
                  </w:r>
                </w:p>
              </w:tc>
            </w:tr>
            <w:tr>
              <w:tc>
                <w:tcPr/>
                <w:p>
                  <w:pPr>
                    <w:pStyle w:val="Compact"/>
                    <w:jc w:val="left"/>
                    <w:jc w:val="center"/>
                  </w:pPr>
                  <w:r>
                    <w:t xml:space="preserve">Viagens, Turismo e Hospedagem</w:t>
                  </w:r>
                </w:p>
              </w:tc>
              <w:tc>
                <w:tcPr/>
                <w:p>
                  <w:pPr>
                    <w:pStyle w:val="Compact"/>
                    <w:jc w:val="right"/>
                    <w:jc w:val="center"/>
                  </w:pPr>
                  <w:r>
                    <w:t xml:space="preserve">32668</w:t>
                  </w:r>
                </w:p>
              </w:tc>
              <w:tc>
                <w:tcPr/>
                <w:p>
                  <w:pPr>
                    <w:pStyle w:val="Compact"/>
                    <w:jc w:val="right"/>
                    <w:jc w:val="center"/>
                  </w:pPr>
                  <w:r>
                    <w:t xml:space="preserve">2.72%</w:t>
                  </w:r>
                </w:p>
              </w:tc>
            </w:tr>
            <w:tr>
              <w:tc>
                <w:tcPr/>
                <w:p>
                  <w:pPr>
                    <w:pStyle w:val="Compact"/>
                    <w:jc w:val="left"/>
                    <w:jc w:val="center"/>
                  </w:pPr>
                  <w:r>
                    <w:t xml:space="preserve">Fabricantes - Eletroeletrônicos, Produtos de Telefonia e Informática</w:t>
                  </w:r>
                </w:p>
              </w:tc>
              <w:tc>
                <w:tcPr/>
                <w:p>
                  <w:pPr>
                    <w:pStyle w:val="Compact"/>
                    <w:jc w:val="right"/>
                    <w:jc w:val="center"/>
                  </w:pPr>
                  <w:r>
                    <w:t xml:space="preserve">30694</w:t>
                  </w:r>
                </w:p>
              </w:tc>
              <w:tc>
                <w:tcPr/>
                <w:p>
                  <w:pPr>
                    <w:pStyle w:val="Compact"/>
                    <w:jc w:val="right"/>
                    <w:jc w:val="center"/>
                  </w:pPr>
                  <w:r>
                    <w:t xml:space="preserve">2.55%</w:t>
                  </w:r>
                </w:p>
              </w:tc>
            </w:tr>
            <w:tr>
              <w:tc>
                <w:tcPr/>
                <w:p>
                  <w:pPr>
                    <w:pStyle w:val="Compact"/>
                    <w:jc w:val="left"/>
                    <w:jc w:val="center"/>
                  </w:pPr>
                  <w:r>
                    <w:t xml:space="preserve">Outros</w:t>
                  </w:r>
                </w:p>
              </w:tc>
              <w:tc>
                <w:tcPr/>
                <w:p>
                  <w:pPr>
                    <w:pStyle w:val="Compact"/>
                    <w:jc w:val="right"/>
                    <w:jc w:val="center"/>
                  </w:pPr>
                  <w:r>
                    <w:t xml:space="preserve">174072</w:t>
                  </w:r>
                </w:p>
              </w:tc>
              <w:tc>
                <w:tcPr/>
                <w:p>
                  <w:pPr>
                    <w:pStyle w:val="Compact"/>
                    <w:jc w:val="right"/>
                    <w:jc w:val="center"/>
                  </w:pPr>
                  <w:r>
                    <w:t xml:space="preserve">14.47%</w:t>
                  </w:r>
                </w:p>
              </w:tc>
            </w:tr>
          </w:tbl>
          <w:bookmarkEnd w:id="69"/>
          <w:p/>
        </w:tc>
      </w:tr>
    </w:tbl>
    <w:p>
      <w:pPr>
        <w:pStyle w:val="Corpodetexto"/>
      </w:pPr>
      <w:r>
        <w:t xml:space="preserve">A</w:t>
      </w:r>
      <w:r>
        <w:t xml:space="preserve"> </w:t>
      </w:r>
      <w:hyperlink w:anchor="tbl-empresas-sindec">
        <w:r>
          <w:rPr>
            <w:rStyle w:val="Hyperlink"/>
          </w:rPr>
          <w:t xml:space="preserve">Table 6</w:t>
        </w:r>
      </w:hyperlink>
      <w:r>
        <w:t xml:space="preserve"> </w:t>
      </w:r>
      <w:r>
        <w:t xml:space="preserve">mostra as 10 empresas mais reclamadas na base do SINDEC. As empresas mais reclamadas são a ENEL e as empresas de telefonia.</w:t>
      </w:r>
    </w:p>
    <w:tbl>
      <w:tblPr>
        <w:tblStyle w:val="Table"/>
        <w:tblW w:type="pct" w:w="5000"/>
        <w:tblLook w:firstRow="0" w:lastRow="0" w:firstColumn="0" w:lastColumn="0" w:noHBand="0" w:noVBand="0" w:val="0000"/>
        <w:jc w:val="start"/>
        <w:tblLayout w:type="fixed"/>
      </w:tblPr>
      <w:tblGrid>
        <w:gridCol w:w="7920"/>
      </w:tblGrid>
      <w:tr>
        <w:tc>
          <w:tcPr/>
          <w:bookmarkStart w:id="70" w:name="tbl-empresas-sindec"/>
          <w:p>
            <w:pPr>
              <w:jc w:val="center"/>
            </w:pPr>
            <w:pPr>
              <w:jc w:val="start"/>
              <w:spacing w:before="200"/>
              <w:pStyle w:val="ImageCaption"/>
            </w:pPr>
            <w:r>
              <w:t xml:space="preserve">Table 6: Empresas mais reclamadas no SINDEC.</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jc w:val="center"/>
                  </w:pPr>
                  <w:r>
                    <w:t xml:space="preserve">nome_fantasia_sindec</w:t>
                  </w:r>
                </w:p>
              </w:tc>
              <w:tc>
                <w:tcPr/>
                <w:p>
                  <w:pPr>
                    <w:pStyle w:val="Compact"/>
                    <w:jc w:val="right"/>
                    <w:jc w:val="center"/>
                  </w:pPr>
                  <w:r>
                    <w:t xml:space="preserve">n</w:t>
                  </w:r>
                </w:p>
              </w:tc>
              <w:tc>
                <w:tcPr/>
                <w:p>
                  <w:pPr>
                    <w:pStyle w:val="Compact"/>
                    <w:jc w:val="right"/>
                    <w:jc w:val="center"/>
                  </w:pPr>
                  <w:r>
                    <w:t xml:space="preserve">prop</w:t>
                  </w:r>
                </w:p>
              </w:tc>
            </w:tr>
            <w:tr>
              <w:tc>
                <w:tcPr/>
                <w:p>
                  <w:pPr>
                    <w:pStyle w:val="Compact"/>
                    <w:jc w:val="left"/>
                    <w:jc w:val="center"/>
                  </w:pPr>
                  <w:r>
                    <w:t xml:space="preserve">ENEL DISTRIBUICAO SAO PAULO</w:t>
                  </w:r>
                </w:p>
              </w:tc>
              <w:tc>
                <w:tcPr/>
                <w:p>
                  <w:pPr>
                    <w:pStyle w:val="Compact"/>
                    <w:jc w:val="right"/>
                    <w:jc w:val="center"/>
                  </w:pPr>
                  <w:r>
                    <w:t xml:space="preserve">135536</w:t>
                  </w:r>
                </w:p>
              </w:tc>
              <w:tc>
                <w:tcPr/>
                <w:p>
                  <w:pPr>
                    <w:pStyle w:val="Compact"/>
                    <w:jc w:val="right"/>
                    <w:jc w:val="center"/>
                  </w:pPr>
                  <w:r>
                    <w:t xml:space="preserve">7.37%</w:t>
                  </w:r>
                </w:p>
              </w:tc>
            </w:tr>
            <w:tr>
              <w:tc>
                <w:tcPr/>
                <w:p>
                  <w:pPr>
                    <w:pStyle w:val="Compact"/>
                    <w:jc w:val="left"/>
                    <w:jc w:val="center"/>
                  </w:pPr>
                  <w:r>
                    <w:t xml:space="preserve">VIVO/TELEFONICA</w:t>
                  </w:r>
                </w:p>
              </w:tc>
              <w:tc>
                <w:tcPr/>
                <w:p>
                  <w:pPr>
                    <w:pStyle w:val="Compact"/>
                    <w:jc w:val="right"/>
                    <w:jc w:val="center"/>
                  </w:pPr>
                  <w:r>
                    <w:t xml:space="preserve">56150</w:t>
                  </w:r>
                </w:p>
              </w:tc>
              <w:tc>
                <w:tcPr/>
                <w:p>
                  <w:pPr>
                    <w:pStyle w:val="Compact"/>
                    <w:jc w:val="right"/>
                    <w:jc w:val="center"/>
                  </w:pPr>
                  <w:r>
                    <w:t xml:space="preserve">3.05%</w:t>
                  </w:r>
                </w:p>
              </w:tc>
            </w:tr>
            <w:tr>
              <w:tc>
                <w:tcPr/>
                <w:p>
                  <w:pPr>
                    <w:pStyle w:val="Compact"/>
                    <w:jc w:val="left"/>
                    <w:jc w:val="center"/>
                  </w:pPr>
                  <w:r>
                    <w:t xml:space="preserve">CLARO / NET / EMBRATEL / CLAROTV</w:t>
                  </w:r>
                </w:p>
              </w:tc>
              <w:tc>
                <w:tcPr/>
                <w:p>
                  <w:pPr>
                    <w:pStyle w:val="Compact"/>
                    <w:jc w:val="right"/>
                    <w:jc w:val="center"/>
                  </w:pPr>
                  <w:r>
                    <w:t xml:space="preserve">46337</w:t>
                  </w:r>
                </w:p>
              </w:tc>
              <w:tc>
                <w:tcPr/>
                <w:p>
                  <w:pPr>
                    <w:pStyle w:val="Compact"/>
                    <w:jc w:val="right"/>
                    <w:jc w:val="center"/>
                  </w:pPr>
                  <w:r>
                    <w:t xml:space="preserve">2.52%</w:t>
                  </w:r>
                </w:p>
              </w:tc>
            </w:tr>
            <w:tr>
              <w:tc>
                <w:tcPr/>
                <w:p>
                  <w:pPr>
                    <w:pStyle w:val="Compact"/>
                    <w:jc w:val="left"/>
                    <w:jc w:val="center"/>
                  </w:pPr>
                  <w:r>
                    <w:t xml:space="preserve">TIM CELULAR / TIM SA / CELULAR TIM / TIM</w:t>
                  </w:r>
                </w:p>
              </w:tc>
              <w:tc>
                <w:tcPr/>
                <w:p>
                  <w:pPr>
                    <w:pStyle w:val="Compact"/>
                    <w:jc w:val="right"/>
                    <w:jc w:val="center"/>
                  </w:pPr>
                  <w:r>
                    <w:t xml:space="preserve">29430</w:t>
                  </w:r>
                </w:p>
              </w:tc>
              <w:tc>
                <w:tcPr/>
                <w:p>
                  <w:pPr>
                    <w:pStyle w:val="Compact"/>
                    <w:jc w:val="right"/>
                    <w:jc w:val="center"/>
                  </w:pPr>
                  <w:r>
                    <w:t xml:space="preserve">1.60%</w:t>
                  </w:r>
                </w:p>
              </w:tc>
            </w:tr>
            <w:tr>
              <w:tc>
                <w:tcPr/>
                <w:p>
                  <w:pPr>
                    <w:pStyle w:val="Compact"/>
                    <w:jc w:val="left"/>
                    <w:jc w:val="center"/>
                  </w:pPr>
                  <w:r>
                    <w:t xml:space="preserve">PONTO FRIO / CASAS BAHIA / EXTRA.COM.BR / PONTOFR</w:t>
                  </w:r>
                </w:p>
              </w:tc>
              <w:tc>
                <w:tcPr/>
                <w:p>
                  <w:pPr>
                    <w:pStyle w:val="Compact"/>
                    <w:jc w:val="right"/>
                    <w:jc w:val="center"/>
                  </w:pPr>
                  <w:r>
                    <w:t xml:space="preserve">25498</w:t>
                  </w:r>
                </w:p>
              </w:tc>
              <w:tc>
                <w:tcPr/>
                <w:p>
                  <w:pPr>
                    <w:pStyle w:val="Compact"/>
                    <w:jc w:val="right"/>
                    <w:jc w:val="center"/>
                  </w:pPr>
                  <w:r>
                    <w:t xml:space="preserve">1.39%</w:t>
                  </w:r>
                </w:p>
              </w:tc>
            </w:tr>
            <w:tr>
              <w:tc>
                <w:tcPr/>
                <w:p>
                  <w:pPr>
                    <w:pStyle w:val="Compact"/>
                    <w:jc w:val="left"/>
                    <w:jc w:val="center"/>
                  </w:pPr>
                  <w:r>
                    <w:t xml:space="preserve">SKY</w:t>
                  </w:r>
                </w:p>
              </w:tc>
              <w:tc>
                <w:tcPr/>
                <w:p>
                  <w:pPr>
                    <w:pStyle w:val="Compact"/>
                    <w:jc w:val="right"/>
                    <w:jc w:val="center"/>
                  </w:pPr>
                  <w:r>
                    <w:t xml:space="preserve">22277</w:t>
                  </w:r>
                </w:p>
              </w:tc>
              <w:tc>
                <w:tcPr/>
                <w:p>
                  <w:pPr>
                    <w:pStyle w:val="Compact"/>
                    <w:jc w:val="right"/>
                    <w:jc w:val="center"/>
                  </w:pPr>
                  <w:r>
                    <w:t xml:space="preserve">1.21%</w:t>
                  </w:r>
                </w:p>
              </w:tc>
            </w:tr>
            <w:tr>
              <w:tc>
                <w:tcPr/>
                <w:p>
                  <w:pPr>
                    <w:pStyle w:val="Compact"/>
                    <w:jc w:val="left"/>
                    <w:jc w:val="center"/>
                  </w:pPr>
                  <w:r>
                    <w:t xml:space="preserve">SABESP</w:t>
                  </w:r>
                </w:p>
              </w:tc>
              <w:tc>
                <w:tcPr/>
                <w:p>
                  <w:pPr>
                    <w:pStyle w:val="Compact"/>
                    <w:jc w:val="right"/>
                    <w:jc w:val="center"/>
                  </w:pPr>
                  <w:r>
                    <w:t xml:space="preserve">20612</w:t>
                  </w:r>
                </w:p>
              </w:tc>
              <w:tc>
                <w:tcPr/>
                <w:p>
                  <w:pPr>
                    <w:pStyle w:val="Compact"/>
                    <w:jc w:val="right"/>
                    <w:jc w:val="center"/>
                  </w:pPr>
                  <w:r>
                    <w:t xml:space="preserve">1.12%</w:t>
                  </w:r>
                </w:p>
              </w:tc>
            </w:tr>
            <w:tr>
              <w:tc>
                <w:tcPr/>
                <w:p>
                  <w:pPr>
                    <w:pStyle w:val="Compact"/>
                    <w:jc w:val="left"/>
                    <w:jc w:val="center"/>
                  </w:pPr>
                  <w:r>
                    <w:t xml:space="preserve">SANTANDER</w:t>
                  </w:r>
                </w:p>
              </w:tc>
              <w:tc>
                <w:tcPr/>
                <w:p>
                  <w:pPr>
                    <w:pStyle w:val="Compact"/>
                    <w:jc w:val="right"/>
                    <w:jc w:val="center"/>
                  </w:pPr>
                  <w:r>
                    <w:t xml:space="preserve">17569</w:t>
                  </w:r>
                </w:p>
              </w:tc>
              <w:tc>
                <w:tcPr/>
                <w:p>
                  <w:pPr>
                    <w:pStyle w:val="Compact"/>
                    <w:jc w:val="right"/>
                    <w:jc w:val="center"/>
                  </w:pPr>
                  <w:r>
                    <w:t xml:space="preserve">0.96%</w:t>
                  </w:r>
                </w:p>
              </w:tc>
            </w:tr>
            <w:tr>
              <w:tc>
                <w:tcPr/>
                <w:p>
                  <w:pPr>
                    <w:pStyle w:val="Compact"/>
                    <w:jc w:val="left"/>
                    <w:jc w:val="center"/>
                  </w:pPr>
                  <w:r>
                    <w:t xml:space="preserve">Outros</w:t>
                  </w:r>
                </w:p>
              </w:tc>
              <w:tc>
                <w:tcPr/>
                <w:p>
                  <w:pPr>
                    <w:pStyle w:val="Compact"/>
                    <w:jc w:val="right"/>
                    <w:jc w:val="center"/>
                  </w:pPr>
                  <w:r>
                    <w:t xml:space="preserve">1485781</w:t>
                  </w:r>
                </w:p>
              </w:tc>
              <w:tc>
                <w:tcPr/>
                <w:p>
                  <w:pPr>
                    <w:pStyle w:val="Compact"/>
                    <w:jc w:val="right"/>
                    <w:jc w:val="center"/>
                  </w:pPr>
                  <w:r>
                    <w:t xml:space="preserve">80.78%</w:t>
                  </w:r>
                </w:p>
              </w:tc>
            </w:tr>
          </w:tbl>
          <w:bookmarkEnd w:id="70"/>
          <w:p/>
        </w:tc>
      </w:tr>
    </w:tbl>
    <w:p>
      <w:pPr>
        <w:pStyle w:val="Corpodetexto"/>
      </w:pPr>
      <w:r>
        <w:t xml:space="preserve">A</w:t>
      </w:r>
      <w:r>
        <w:t xml:space="preserve"> </w:t>
      </w:r>
      <w:hyperlink w:anchor="tbl-segmentos-sindec">
        <w:r>
          <w:rPr>
            <w:rStyle w:val="Hyperlink"/>
          </w:rPr>
          <w:t xml:space="preserve">Table 7</w:t>
        </w:r>
      </w:hyperlink>
      <w:r>
        <w:t xml:space="preserve"> </w:t>
      </w:r>
      <w:r>
        <w:t xml:space="preserve">mostra os segmentos mais reclamados na base do SINDEC, usando a Classificação Nacional das Atividades Econômicas (CNAE) como base. Somando todos os casos, os segmentos mais reclamados são bancos e empresas de telefonia, similar ao encontrado na base CGOV.</w:t>
      </w:r>
    </w:p>
    <w:tbl>
      <w:tblPr>
        <w:tblStyle w:val="Table"/>
        <w:tblW w:type="pct" w:w="5000"/>
        <w:tblLook w:firstRow="0" w:lastRow="0" w:firstColumn="0" w:lastColumn="0" w:noHBand="0" w:noVBand="0" w:val="0000"/>
        <w:jc w:val="start"/>
        <w:tblLayout w:type="fixed"/>
      </w:tblPr>
      <w:tblGrid>
        <w:gridCol w:w="7920"/>
      </w:tblGrid>
      <w:tr>
        <w:tc>
          <w:tcPr/>
          <w:bookmarkStart w:id="71" w:name="tbl-segmentos-sindec"/>
          <w:p>
            <w:pPr>
              <w:jc w:val="center"/>
            </w:pPr>
            <w:pPr>
              <w:jc w:val="start"/>
              <w:spacing w:before="200"/>
              <w:pStyle w:val="ImageCaption"/>
            </w:pPr>
            <w:r>
              <w:t xml:space="preserve">Table 7: Segmentos mais reclamados no CGOV.</w:t>
            </w:r>
          </w:p>
          <w:tbl>
            <w:tblPr>
              <w:tblStyle w:val="Table"/>
              <w:tblW w:type="pct" w:w="5000"/>
              <w:tblLook w:firstRow="1" w:lastRow="0" w:firstColumn="0" w:lastColumn="0" w:noHBand="0" w:noVBand="0" w:val="0020"/>
              <w:jc w:val="start"/>
              <w:tblLayout w:type="fixed"/>
            </w:tblPr>
            <w:tblGrid>
              <w:gridCol w:w="6800"/>
              <w:gridCol w:w="560"/>
              <w:gridCol w:w="560"/>
            </w:tblGrid>
            <w:tr>
              <w:trPr>
                <w:tblHeader w:val="true"/>
              </w:trPr>
              <w:tc>
                <w:tcPr/>
                <w:p>
                  <w:pPr>
                    <w:pStyle w:val="Compact"/>
                    <w:jc w:val="left"/>
                    <w:jc w:val="center"/>
                  </w:pPr>
                  <w:r>
                    <w:t xml:space="preserve">descricao_cnae_principal</w:t>
                  </w:r>
                </w:p>
              </w:tc>
              <w:tc>
                <w:tcPr/>
                <w:p>
                  <w:pPr>
                    <w:pStyle w:val="Compact"/>
                    <w:jc w:val="right"/>
                    <w:jc w:val="center"/>
                  </w:pPr>
                  <w:r>
                    <w:t xml:space="preserve">n</w:t>
                  </w:r>
                </w:p>
              </w:tc>
              <w:tc>
                <w:tcPr/>
                <w:p>
                  <w:pPr>
                    <w:pStyle w:val="Compact"/>
                    <w:jc w:val="right"/>
                    <w:jc w:val="center"/>
                  </w:pPr>
                  <w:r>
                    <w:t xml:space="preserve">prop</w:t>
                  </w:r>
                </w:p>
              </w:tc>
            </w:tr>
            <w:tr>
              <w:tc>
                <w:tcPr/>
                <w:p>
                  <w:pPr>
                    <w:pStyle w:val="Compact"/>
                    <w:jc w:val="left"/>
                    <w:jc w:val="center"/>
                  </w:pPr>
                  <w:r>
                    <w:t xml:space="preserve">BANCOS MULTIPLOS, COM CARTEIRA COMERCIAL</w:t>
                  </w:r>
                </w:p>
              </w:tc>
              <w:tc>
                <w:tcPr/>
                <w:p>
                  <w:pPr>
                    <w:pStyle w:val="Compact"/>
                    <w:jc w:val="right"/>
                    <w:jc w:val="center"/>
                  </w:pPr>
                  <w:r>
                    <w:t xml:space="preserve">247458</w:t>
                  </w:r>
                </w:p>
              </w:tc>
              <w:tc>
                <w:tcPr/>
                <w:p>
                  <w:pPr>
                    <w:pStyle w:val="Compact"/>
                    <w:jc w:val="right"/>
                    <w:jc w:val="center"/>
                  </w:pPr>
                  <w:r>
                    <w:t xml:space="preserve">13.78%</w:t>
                  </w:r>
                </w:p>
              </w:tc>
            </w:tr>
            <w:tr>
              <w:tc>
                <w:tcPr/>
                <w:p>
                  <w:pPr>
                    <w:pStyle w:val="Compact"/>
                    <w:jc w:val="left"/>
                    <w:jc w:val="center"/>
                  </w:pPr>
                  <w:r>
                    <w:t xml:space="preserve">TELEFONIA MOVEL CELULAR</w:t>
                  </w:r>
                </w:p>
              </w:tc>
              <w:tc>
                <w:tcPr/>
                <w:p>
                  <w:pPr>
                    <w:pStyle w:val="Compact"/>
                    <w:jc w:val="right"/>
                    <w:jc w:val="center"/>
                  </w:pPr>
                  <w:r>
                    <w:t xml:space="preserve">179023</w:t>
                  </w:r>
                </w:p>
              </w:tc>
              <w:tc>
                <w:tcPr/>
                <w:p>
                  <w:pPr>
                    <w:pStyle w:val="Compact"/>
                    <w:jc w:val="right"/>
                    <w:jc w:val="center"/>
                  </w:pPr>
                  <w:r>
                    <w:t xml:space="preserve">9.97%</w:t>
                  </w:r>
                </w:p>
              </w:tc>
            </w:tr>
            <w:tr>
              <w:tc>
                <w:tcPr/>
                <w:p>
                  <w:pPr>
                    <w:pStyle w:val="Compact"/>
                    <w:jc w:val="left"/>
                    <w:jc w:val="center"/>
                  </w:pPr>
                  <w:r>
                    <w:t xml:space="preserve">SERVICOS DE TELEFONIA FIXA COMUTADA - STFC</w:t>
                  </w:r>
                </w:p>
              </w:tc>
              <w:tc>
                <w:tcPr/>
                <w:p>
                  <w:pPr>
                    <w:pStyle w:val="Compact"/>
                    <w:jc w:val="right"/>
                    <w:jc w:val="center"/>
                  </w:pPr>
                  <w:r>
                    <w:t xml:space="preserve">175933</w:t>
                  </w:r>
                </w:p>
              </w:tc>
              <w:tc>
                <w:tcPr/>
                <w:p>
                  <w:pPr>
                    <w:pStyle w:val="Compact"/>
                    <w:jc w:val="right"/>
                    <w:jc w:val="center"/>
                  </w:pPr>
                  <w:r>
                    <w:t xml:space="preserve">9.80%</w:t>
                  </w:r>
                </w:p>
              </w:tc>
            </w:tr>
            <w:tr>
              <w:tc>
                <w:tcPr/>
                <w:p>
                  <w:pPr>
                    <w:pStyle w:val="Compact"/>
                    <w:jc w:val="left"/>
                    <w:jc w:val="center"/>
                  </w:pPr>
                  <w:r>
                    <w:t xml:space="preserve">DISTRIBUICAO DE ENERGIA ELETRICA</w:t>
                  </w:r>
                </w:p>
              </w:tc>
              <w:tc>
                <w:tcPr/>
                <w:p>
                  <w:pPr>
                    <w:pStyle w:val="Compact"/>
                    <w:jc w:val="right"/>
                    <w:jc w:val="center"/>
                  </w:pPr>
                  <w:r>
                    <w:t xml:space="preserve">118823</w:t>
                  </w:r>
                </w:p>
              </w:tc>
              <w:tc>
                <w:tcPr/>
                <w:p>
                  <w:pPr>
                    <w:pStyle w:val="Compact"/>
                    <w:jc w:val="right"/>
                    <w:jc w:val="center"/>
                  </w:pPr>
                  <w:r>
                    <w:t xml:space="preserve">6.62%</w:t>
                  </w:r>
                </w:p>
              </w:tc>
            </w:tr>
            <w:tr>
              <w:tc>
                <w:tcPr/>
                <w:p>
                  <w:pPr>
                    <w:pStyle w:val="Compact"/>
                    <w:jc w:val="left"/>
                    <w:jc w:val="center"/>
                  </w:pPr>
                  <w:r>
                    <w:t xml:space="preserve">COMERCIO VAREJISTA ESPECIALIZADO DE ELETRODOMESTICOS E EQUIPAMENTOS DE AUDIO E VIDEO</w:t>
                  </w:r>
                </w:p>
              </w:tc>
              <w:tc>
                <w:tcPr/>
                <w:p>
                  <w:pPr>
                    <w:pStyle w:val="Compact"/>
                    <w:jc w:val="right"/>
                    <w:jc w:val="center"/>
                  </w:pPr>
                  <w:r>
                    <w:t xml:space="preserve">42739</w:t>
                  </w:r>
                </w:p>
              </w:tc>
              <w:tc>
                <w:tcPr/>
                <w:p>
                  <w:pPr>
                    <w:pStyle w:val="Compact"/>
                    <w:jc w:val="right"/>
                    <w:jc w:val="center"/>
                  </w:pPr>
                  <w:r>
                    <w:t xml:space="preserve">2.38%</w:t>
                  </w:r>
                </w:p>
              </w:tc>
            </w:tr>
            <w:tr>
              <w:tc>
                <w:tcPr/>
                <w:p>
                  <w:pPr>
                    <w:pStyle w:val="Compact"/>
                    <w:jc w:val="left"/>
                    <w:jc w:val="center"/>
                  </w:pPr>
                  <w:r>
                    <w:t xml:space="preserve">LOJAS DE DEPARTAMENTOS OU MAGAZINES</w:t>
                  </w:r>
                </w:p>
              </w:tc>
              <w:tc>
                <w:tcPr/>
                <w:p>
                  <w:pPr>
                    <w:pStyle w:val="Compact"/>
                    <w:jc w:val="right"/>
                    <w:jc w:val="center"/>
                  </w:pPr>
                  <w:r>
                    <w:t xml:space="preserve">38243</w:t>
                  </w:r>
                </w:p>
              </w:tc>
              <w:tc>
                <w:tcPr/>
                <w:p>
                  <w:pPr>
                    <w:pStyle w:val="Compact"/>
                    <w:jc w:val="right"/>
                    <w:jc w:val="center"/>
                  </w:pPr>
                  <w:r>
                    <w:t xml:space="preserve">2.13%</w:t>
                  </w:r>
                </w:p>
              </w:tc>
            </w:tr>
            <w:tr>
              <w:tc>
                <w:tcPr/>
                <w:p>
                  <w:pPr>
                    <w:pStyle w:val="Compact"/>
                    <w:jc w:val="left"/>
                    <w:jc w:val="center"/>
                  </w:pPr>
                  <w:r>
                    <w:t xml:space="preserve">AGENCIAS DE VIAGENS</w:t>
                  </w:r>
                </w:p>
              </w:tc>
              <w:tc>
                <w:tcPr/>
                <w:p>
                  <w:pPr>
                    <w:pStyle w:val="Compact"/>
                    <w:jc w:val="right"/>
                    <w:jc w:val="center"/>
                  </w:pPr>
                  <w:r>
                    <w:t xml:space="preserve">32823</w:t>
                  </w:r>
                </w:p>
              </w:tc>
              <w:tc>
                <w:tcPr/>
                <w:p>
                  <w:pPr>
                    <w:pStyle w:val="Compact"/>
                    <w:jc w:val="right"/>
                    <w:jc w:val="center"/>
                  </w:pPr>
                  <w:r>
                    <w:t xml:space="preserve">1.83%</w:t>
                  </w:r>
                </w:p>
              </w:tc>
            </w:tr>
            <w:tr>
              <w:tc>
                <w:tcPr/>
                <w:p>
                  <w:pPr>
                    <w:pStyle w:val="Compact"/>
                    <w:jc w:val="left"/>
                    <w:jc w:val="center"/>
                  </w:pPr>
                  <w:r>
                    <w:t xml:space="preserve">SOCIEDADES DE CREDITO, FINANCIAMENTO E INVESTIMENTO - FINANCEIRAS</w:t>
                  </w:r>
                </w:p>
              </w:tc>
              <w:tc>
                <w:tcPr/>
                <w:p>
                  <w:pPr>
                    <w:pStyle w:val="Compact"/>
                    <w:jc w:val="right"/>
                    <w:jc w:val="center"/>
                  </w:pPr>
                  <w:r>
                    <w:t xml:space="preserve">32812</w:t>
                  </w:r>
                </w:p>
              </w:tc>
              <w:tc>
                <w:tcPr/>
                <w:p>
                  <w:pPr>
                    <w:pStyle w:val="Compact"/>
                    <w:jc w:val="right"/>
                    <w:jc w:val="center"/>
                  </w:pPr>
                  <w:r>
                    <w:t xml:space="preserve">1.83%</w:t>
                  </w:r>
                </w:p>
              </w:tc>
            </w:tr>
            <w:tr>
              <w:tc>
                <w:tcPr/>
                <w:p>
                  <w:pPr>
                    <w:pStyle w:val="Compact"/>
                    <w:jc w:val="left"/>
                    <w:jc w:val="center"/>
                  </w:pPr>
                  <w:r>
                    <w:t xml:space="preserve">Outros</w:t>
                  </w:r>
                </w:p>
              </w:tc>
              <w:tc>
                <w:tcPr/>
                <w:p>
                  <w:pPr>
                    <w:pStyle w:val="Compact"/>
                    <w:jc w:val="right"/>
                    <w:jc w:val="center"/>
                  </w:pPr>
                  <w:r>
                    <w:t xml:space="preserve">927717</w:t>
                  </w:r>
                </w:p>
              </w:tc>
              <w:tc>
                <w:tcPr/>
                <w:p>
                  <w:pPr>
                    <w:pStyle w:val="Compact"/>
                    <w:jc w:val="right"/>
                    <w:jc w:val="center"/>
                  </w:pPr>
                  <w:r>
                    <w:t xml:space="preserve">51.67%</w:t>
                  </w:r>
                </w:p>
              </w:tc>
            </w:tr>
          </w:tbl>
          <w:bookmarkEnd w:id="71"/>
          <w:p/>
        </w:tc>
      </w:tr>
    </w:tbl>
    <w:p>
      <w:pPr>
        <w:pStyle w:val="Corpodetexto"/>
      </w:pPr>
      <w:r>
        <w:t xml:space="preserve">No TJSP, infelizmente, os dados de partes não são padronizados nem apresentam a informação do segmento. Fizemos uma padronização básica dos nomes (retirando acentos, colocando em caixa alta e ajustando pontuação), mas uma padronização e segmentação completa das empresas poderá ser objeto de futuras pesquisas. A</w:t>
      </w:r>
      <w:r>
        <w:t xml:space="preserve"> </w:t>
      </w:r>
      <w:hyperlink w:anchor="tbl-empresas-tjsp">
        <w:r>
          <w:rPr>
            <w:rStyle w:val="Hyperlink"/>
          </w:rPr>
          <w:t xml:space="preserve">Table 8</w:t>
        </w:r>
      </w:hyperlink>
      <w:r>
        <w:t xml:space="preserve"> </w:t>
      </w:r>
      <w:r>
        <w:t xml:space="preserve">mostra a proporção de processos (na amostra de processos consultados) relacionados a cada empresa analisada. A empresa mais reclamada é a Telefonica (Vivo), seguida por grandes bancos, e depois pela Claro.</w:t>
      </w:r>
    </w:p>
    <w:tbl>
      <w:tblPr>
        <w:tblStyle w:val="Table"/>
        <w:tblW w:type="pct" w:w="5000"/>
        <w:tblLook w:firstRow="0" w:lastRow="0" w:firstColumn="0" w:lastColumn="0" w:noHBand="0" w:noVBand="0" w:val="0000"/>
        <w:jc w:val="start"/>
        <w:tblLayout w:type="fixed"/>
      </w:tblPr>
      <w:tblGrid>
        <w:gridCol w:w="7920"/>
      </w:tblGrid>
      <w:tr>
        <w:tc>
          <w:tcPr/>
          <w:bookmarkStart w:id="72" w:name="tbl-empresas-tjsp"/>
          <w:p>
            <w:pPr>
              <w:jc w:val="center"/>
            </w:pPr>
            <w:pPr>
              <w:jc w:val="start"/>
              <w:spacing w:before="200"/>
              <w:pStyle w:val="ImageCaption"/>
            </w:pPr>
            <w:r>
              <w:t xml:space="preserve">Table 8: Quantidade e proporção de empresas no polo passivo no TJSP.</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jc w:val="center"/>
                  </w:pPr>
                  <w:r>
                    <w:t xml:space="preserve">parte</w:t>
                  </w:r>
                </w:p>
              </w:tc>
              <w:tc>
                <w:tcPr/>
                <w:p>
                  <w:pPr>
                    <w:pStyle w:val="Compact"/>
                    <w:jc w:val="right"/>
                    <w:jc w:val="center"/>
                  </w:pPr>
                  <w:r>
                    <w:t xml:space="preserve">n</w:t>
                  </w:r>
                </w:p>
              </w:tc>
              <w:tc>
                <w:tcPr/>
                <w:p>
                  <w:pPr>
                    <w:pStyle w:val="Compact"/>
                    <w:jc w:val="right"/>
                    <w:jc w:val="center"/>
                  </w:pPr>
                  <w:r>
                    <w:t xml:space="preserve">prop</w:t>
                  </w:r>
                </w:p>
              </w:tc>
            </w:tr>
            <w:tr>
              <w:tc>
                <w:tcPr/>
                <w:p>
                  <w:pPr>
                    <w:pStyle w:val="Compact"/>
                    <w:jc w:val="left"/>
                    <w:jc w:val="center"/>
                  </w:pPr>
                  <w:r>
                    <w:t xml:space="preserve">Outros</w:t>
                  </w:r>
                </w:p>
              </w:tc>
              <w:tc>
                <w:tcPr/>
                <w:p>
                  <w:pPr>
                    <w:pStyle w:val="Compact"/>
                    <w:jc w:val="right"/>
                    <w:jc w:val="center"/>
                  </w:pPr>
                  <w:r>
                    <w:t xml:space="preserve">9581</w:t>
                  </w:r>
                </w:p>
              </w:tc>
              <w:tc>
                <w:tcPr/>
                <w:p>
                  <w:pPr>
                    <w:pStyle w:val="Compact"/>
                    <w:jc w:val="right"/>
                    <w:jc w:val="center"/>
                  </w:pPr>
                  <w:r>
                    <w:t xml:space="preserve">80.66%</w:t>
                  </w:r>
                </w:p>
              </w:tc>
            </w:tr>
            <w:tr>
              <w:tc>
                <w:tcPr/>
                <w:p>
                  <w:pPr>
                    <w:pStyle w:val="Compact"/>
                    <w:jc w:val="left"/>
                    <w:jc w:val="center"/>
                  </w:pPr>
                  <w:r>
                    <w:t xml:space="preserve">TELEFONICA BRASIL SA</w:t>
                  </w:r>
                </w:p>
              </w:tc>
              <w:tc>
                <w:tcPr/>
                <w:p>
                  <w:pPr>
                    <w:pStyle w:val="Compact"/>
                    <w:jc w:val="right"/>
                    <w:jc w:val="center"/>
                  </w:pPr>
                  <w:r>
                    <w:t xml:space="preserve">442</w:t>
                  </w:r>
                </w:p>
              </w:tc>
              <w:tc>
                <w:tcPr/>
                <w:p>
                  <w:pPr>
                    <w:pStyle w:val="Compact"/>
                    <w:jc w:val="right"/>
                    <w:jc w:val="center"/>
                  </w:pPr>
                  <w:r>
                    <w:t xml:space="preserve">3.72%</w:t>
                  </w:r>
                </w:p>
              </w:tc>
            </w:tr>
            <w:tr>
              <w:tc>
                <w:tcPr/>
                <w:p>
                  <w:pPr>
                    <w:pStyle w:val="Compact"/>
                    <w:jc w:val="left"/>
                    <w:jc w:val="center"/>
                  </w:pPr>
                  <w:r>
                    <w:t xml:space="preserve">BANCO BRADESCO SA</w:t>
                  </w:r>
                </w:p>
              </w:tc>
              <w:tc>
                <w:tcPr/>
                <w:p>
                  <w:pPr>
                    <w:pStyle w:val="Compact"/>
                    <w:jc w:val="right"/>
                    <w:jc w:val="center"/>
                  </w:pPr>
                  <w:r>
                    <w:t xml:space="preserve">323</w:t>
                  </w:r>
                </w:p>
              </w:tc>
              <w:tc>
                <w:tcPr/>
                <w:p>
                  <w:pPr>
                    <w:pStyle w:val="Compact"/>
                    <w:jc w:val="right"/>
                    <w:jc w:val="center"/>
                  </w:pPr>
                  <w:r>
                    <w:t xml:space="preserve">2.72%</w:t>
                  </w:r>
                </w:p>
              </w:tc>
            </w:tr>
            <w:tr>
              <w:tc>
                <w:tcPr/>
                <w:p>
                  <w:pPr>
                    <w:pStyle w:val="Compact"/>
                    <w:jc w:val="left"/>
                    <w:jc w:val="center"/>
                  </w:pPr>
                  <w:r>
                    <w:t xml:space="preserve">BANCO SANTANDER BRASIL SA</w:t>
                  </w:r>
                </w:p>
              </w:tc>
              <w:tc>
                <w:tcPr/>
                <w:p>
                  <w:pPr>
                    <w:pStyle w:val="Compact"/>
                    <w:jc w:val="right"/>
                    <w:jc w:val="center"/>
                  </w:pPr>
                  <w:r>
                    <w:t xml:space="preserve">229</w:t>
                  </w:r>
                </w:p>
              </w:tc>
              <w:tc>
                <w:tcPr/>
                <w:p>
                  <w:pPr>
                    <w:pStyle w:val="Compact"/>
                    <w:jc w:val="right"/>
                    <w:jc w:val="center"/>
                  </w:pPr>
                  <w:r>
                    <w:t xml:space="preserve">1.93%</w:t>
                  </w:r>
                </w:p>
              </w:tc>
            </w:tr>
            <w:tr>
              <w:tc>
                <w:tcPr/>
                <w:p>
                  <w:pPr>
                    <w:pStyle w:val="Compact"/>
                    <w:jc w:val="left"/>
                    <w:jc w:val="center"/>
                  </w:pPr>
                  <w:r>
                    <w:t xml:space="preserve">BANCO BMG SA</w:t>
                  </w:r>
                </w:p>
              </w:tc>
              <w:tc>
                <w:tcPr/>
                <w:p>
                  <w:pPr>
                    <w:pStyle w:val="Compact"/>
                    <w:jc w:val="right"/>
                    <w:jc w:val="center"/>
                  </w:pPr>
                  <w:r>
                    <w:t xml:space="preserve">215</w:t>
                  </w:r>
                </w:p>
              </w:tc>
              <w:tc>
                <w:tcPr/>
                <w:p>
                  <w:pPr>
                    <w:pStyle w:val="Compact"/>
                    <w:jc w:val="right"/>
                    <w:jc w:val="center"/>
                  </w:pPr>
                  <w:r>
                    <w:t xml:space="preserve">1.81%</w:t>
                  </w:r>
                </w:p>
              </w:tc>
            </w:tr>
            <w:tr>
              <w:tc>
                <w:tcPr/>
                <w:p>
                  <w:pPr>
                    <w:pStyle w:val="Compact"/>
                    <w:jc w:val="left"/>
                    <w:jc w:val="center"/>
                  </w:pPr>
                  <w:r>
                    <w:t xml:space="preserve">BANCO DO BRASIL SA</w:t>
                  </w:r>
                </w:p>
              </w:tc>
              <w:tc>
                <w:tcPr/>
                <w:p>
                  <w:pPr>
                    <w:pStyle w:val="Compact"/>
                    <w:jc w:val="right"/>
                    <w:jc w:val="center"/>
                  </w:pPr>
                  <w:r>
                    <w:t xml:space="preserve">194</w:t>
                  </w:r>
                </w:p>
              </w:tc>
              <w:tc>
                <w:tcPr/>
                <w:p>
                  <w:pPr>
                    <w:pStyle w:val="Compact"/>
                    <w:jc w:val="right"/>
                    <w:jc w:val="center"/>
                  </w:pPr>
                  <w:r>
                    <w:t xml:space="preserve">1.63%</w:t>
                  </w:r>
                </w:p>
              </w:tc>
            </w:tr>
            <w:tr>
              <w:tc>
                <w:tcPr/>
                <w:p>
                  <w:pPr>
                    <w:pStyle w:val="Compact"/>
                    <w:jc w:val="left"/>
                    <w:jc w:val="center"/>
                  </w:pPr>
                  <w:r>
                    <w:t xml:space="preserve">CLARO SA</w:t>
                  </w:r>
                </w:p>
              </w:tc>
              <w:tc>
                <w:tcPr/>
                <w:p>
                  <w:pPr>
                    <w:pStyle w:val="Compact"/>
                    <w:jc w:val="right"/>
                    <w:jc w:val="center"/>
                  </w:pPr>
                  <w:r>
                    <w:t xml:space="preserve">192</w:t>
                  </w:r>
                </w:p>
              </w:tc>
              <w:tc>
                <w:tcPr/>
                <w:p>
                  <w:pPr>
                    <w:pStyle w:val="Compact"/>
                    <w:jc w:val="right"/>
                    <w:jc w:val="center"/>
                  </w:pPr>
                  <w:r>
                    <w:t xml:space="preserve">1.62%</w:t>
                  </w:r>
                </w:p>
              </w:tc>
            </w:tr>
            <w:tr>
              <w:tc>
                <w:tcPr/>
                <w:p>
                  <w:pPr>
                    <w:pStyle w:val="Compact"/>
                    <w:jc w:val="left"/>
                    <w:jc w:val="center"/>
                  </w:pPr>
                  <w:r>
                    <w:t xml:space="preserve">TAM LINHAS AEREAS SA LATAM AIRLINES BRASIL</w:t>
                  </w:r>
                </w:p>
              </w:tc>
              <w:tc>
                <w:tcPr/>
                <w:p>
                  <w:pPr>
                    <w:pStyle w:val="Compact"/>
                    <w:jc w:val="right"/>
                    <w:jc w:val="center"/>
                  </w:pPr>
                  <w:r>
                    <w:t xml:space="preserve">191</w:t>
                  </w:r>
                </w:p>
              </w:tc>
              <w:tc>
                <w:tcPr/>
                <w:p>
                  <w:pPr>
                    <w:pStyle w:val="Compact"/>
                    <w:jc w:val="right"/>
                    <w:jc w:val="center"/>
                  </w:pPr>
                  <w:r>
                    <w:t xml:space="preserve">1.61%</w:t>
                  </w:r>
                </w:p>
              </w:tc>
            </w:tr>
            <w:tr>
              <w:tc>
                <w:tcPr/>
                <w:p>
                  <w:pPr>
                    <w:pStyle w:val="Compact"/>
                    <w:jc w:val="left"/>
                    <w:jc w:val="center"/>
                  </w:pPr>
                  <w:r>
                    <w:t xml:space="preserve">BANCO PAN SA</w:t>
                  </w:r>
                </w:p>
              </w:tc>
              <w:tc>
                <w:tcPr/>
                <w:p>
                  <w:pPr>
                    <w:pStyle w:val="Compact"/>
                    <w:jc w:val="right"/>
                    <w:jc w:val="center"/>
                  </w:pPr>
                  <w:r>
                    <w:t xml:space="preserve">186</w:t>
                  </w:r>
                </w:p>
              </w:tc>
              <w:tc>
                <w:tcPr/>
                <w:p>
                  <w:pPr>
                    <w:pStyle w:val="Compact"/>
                    <w:jc w:val="right"/>
                    <w:jc w:val="center"/>
                  </w:pPr>
                  <w:r>
                    <w:t xml:space="preserve">1.57%</w:t>
                  </w:r>
                </w:p>
              </w:tc>
            </w:tr>
            <w:tr>
              <w:tc>
                <w:tcPr/>
                <w:p>
                  <w:pPr>
                    <w:pStyle w:val="Compact"/>
                    <w:jc w:val="left"/>
                    <w:jc w:val="center"/>
                  </w:pPr>
                  <w:r>
                    <w:t xml:space="preserve">COMPANHIA PAULISTA DE FORCA E LUZ</w:t>
                  </w:r>
                </w:p>
              </w:tc>
              <w:tc>
                <w:tcPr/>
                <w:p>
                  <w:pPr>
                    <w:pStyle w:val="Compact"/>
                    <w:jc w:val="right"/>
                    <w:jc w:val="center"/>
                  </w:pPr>
                  <w:r>
                    <w:t xml:space="preserve">177</w:t>
                  </w:r>
                </w:p>
              </w:tc>
              <w:tc>
                <w:tcPr/>
                <w:p>
                  <w:pPr>
                    <w:pStyle w:val="Compact"/>
                    <w:jc w:val="right"/>
                    <w:jc w:val="center"/>
                  </w:pPr>
                  <w:r>
                    <w:t xml:space="preserve">1.49%</w:t>
                  </w:r>
                </w:p>
              </w:tc>
            </w:tr>
            <w:tr>
              <w:tc>
                <w:tcPr/>
                <w:p>
                  <w:pPr>
                    <w:pStyle w:val="Compact"/>
                    <w:jc w:val="left"/>
                    <w:jc w:val="center"/>
                  </w:pPr>
                  <w:r>
                    <w:t xml:space="preserve">ELETROPAULO METROPOLITANA ELETRICIDADE DE SAO PAULO SA</w:t>
                  </w:r>
                </w:p>
              </w:tc>
              <w:tc>
                <w:tcPr/>
                <w:p>
                  <w:pPr>
                    <w:pStyle w:val="Compact"/>
                    <w:jc w:val="right"/>
                    <w:jc w:val="center"/>
                  </w:pPr>
                  <w:r>
                    <w:t xml:space="preserve">148</w:t>
                  </w:r>
                </w:p>
              </w:tc>
              <w:tc>
                <w:tcPr/>
                <w:p>
                  <w:pPr>
                    <w:pStyle w:val="Compact"/>
                    <w:jc w:val="right"/>
                    <w:jc w:val="center"/>
                  </w:pPr>
                  <w:r>
                    <w:t xml:space="preserve">1.25%</w:t>
                  </w:r>
                </w:p>
              </w:tc>
            </w:tr>
          </w:tbl>
          <w:bookmarkEnd w:id="72"/>
          <w:p/>
        </w:tc>
      </w:tr>
    </w:tbl>
    <w:bookmarkEnd w:id="73"/>
    <w:bookmarkStart w:id="76" w:name="Xe0fc03c40acff31e74ad285577949d80e5bbf9e"/>
    <w:p>
      <w:pPr>
        <w:pStyle w:val="Ttulo3"/>
      </w:pPr>
      <w:r>
        <w:t xml:space="preserve">Qual é a taxa de resolução de conflitos nas reclamações e processos?</w:t>
      </w:r>
    </w:p>
    <w:p>
      <w:pPr>
        <w:pStyle w:val="FirstParagraph"/>
      </w:pPr>
      <w:r>
        <w:t xml:space="preserve">A</w:t>
      </w:r>
      <w:r>
        <w:t xml:space="preserve"> </w:t>
      </w:r>
      <w:hyperlink w:anchor="tbl-resolucao-cgov">
        <w:r>
          <w:rPr>
            <w:rStyle w:val="Hyperlink"/>
          </w:rPr>
          <w:t xml:space="preserve">Table 9</w:t>
        </w:r>
      </w:hyperlink>
      <w:r>
        <w:t xml:space="preserve"> </w:t>
      </w:r>
      <w:r>
        <w:t xml:space="preserve">mostra a taxa de resolução de reclamações no CGOV. Do total de reclamações, 47% não são avaliadas. Das que foram avaliadas, no entanto, temos que 58% das reclamações são resolvidas.</w:t>
      </w:r>
    </w:p>
    <w:tbl>
      <w:tblPr>
        <w:tblStyle w:val="Table"/>
        <w:tblW w:type="pct" w:w="5000"/>
        <w:tblLook w:firstRow="0" w:lastRow="0" w:firstColumn="0" w:lastColumn="0" w:noHBand="0" w:noVBand="0" w:val="0000"/>
        <w:jc w:val="start"/>
        <w:tblLayout w:type="fixed"/>
      </w:tblPr>
      <w:tblGrid>
        <w:gridCol w:w="7920"/>
      </w:tblGrid>
      <w:tr>
        <w:tc>
          <w:tcPr/>
          <w:bookmarkStart w:id="74" w:name="tbl-resolucao-cgov"/>
          <w:p>
            <w:pPr>
              <w:jc w:val="center"/>
            </w:pPr>
            <w:pPr>
              <w:jc w:val="start"/>
              <w:spacing w:before="200"/>
              <w:pStyle w:val="ImageCaption"/>
            </w:pPr>
            <w:r>
              <w:t xml:space="preserve">Table 9: Taxa de resolução das reclamações no CGOV.</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jc w:val="center"/>
                  </w:pPr>
                  <w:r>
                    <w:t xml:space="preserve">avaliacao_reclamacao</w:t>
                  </w:r>
                </w:p>
              </w:tc>
              <w:tc>
                <w:tcPr/>
                <w:p>
                  <w:pPr>
                    <w:pStyle w:val="Compact"/>
                    <w:jc w:val="right"/>
                    <w:jc w:val="center"/>
                  </w:pPr>
                  <w:r>
                    <w:t xml:space="preserve">n</w:t>
                  </w:r>
                </w:p>
              </w:tc>
              <w:tc>
                <w:tcPr/>
                <w:p>
                  <w:pPr>
                    <w:pStyle w:val="Compact"/>
                    <w:jc w:val="right"/>
                    <w:jc w:val="center"/>
                  </w:pPr>
                  <w:r>
                    <w:t xml:space="preserve">prop</w:t>
                  </w:r>
                </w:p>
              </w:tc>
            </w:tr>
            <w:tr>
              <w:tc>
                <w:tcPr/>
                <w:p>
                  <w:pPr>
                    <w:pStyle w:val="Compact"/>
                    <w:jc w:val="left"/>
                    <w:jc w:val="center"/>
                  </w:pPr>
                  <w:r>
                    <w:t xml:space="preserve">NÃO AVALIADA</w:t>
                  </w:r>
                </w:p>
              </w:tc>
              <w:tc>
                <w:tcPr/>
                <w:p>
                  <w:pPr>
                    <w:pStyle w:val="Compact"/>
                    <w:jc w:val="right"/>
                    <w:jc w:val="center"/>
                  </w:pPr>
                  <w:r>
                    <w:t xml:space="preserve">564902</w:t>
                  </w:r>
                </w:p>
              </w:tc>
              <w:tc>
                <w:tcPr/>
                <w:p>
                  <w:pPr>
                    <w:pStyle w:val="Compact"/>
                    <w:jc w:val="right"/>
                    <w:jc w:val="center"/>
                  </w:pPr>
                  <w:r>
                    <w:t xml:space="preserve">46.95%</w:t>
                  </w:r>
                </w:p>
              </w:tc>
            </w:tr>
            <w:tr>
              <w:tc>
                <w:tcPr/>
                <w:p>
                  <w:pPr>
                    <w:pStyle w:val="Compact"/>
                    <w:jc w:val="left"/>
                    <w:jc w:val="center"/>
                  </w:pPr>
                  <w:r>
                    <w:t xml:space="preserve">RESOLVIDA</w:t>
                  </w:r>
                </w:p>
              </w:tc>
              <w:tc>
                <w:tcPr/>
                <w:p>
                  <w:pPr>
                    <w:pStyle w:val="Compact"/>
                    <w:jc w:val="right"/>
                    <w:jc w:val="center"/>
                  </w:pPr>
                  <w:r>
                    <w:t xml:space="preserve">368209</w:t>
                  </w:r>
                </w:p>
              </w:tc>
              <w:tc>
                <w:tcPr/>
                <w:p>
                  <w:pPr>
                    <w:pStyle w:val="Compact"/>
                    <w:jc w:val="right"/>
                    <w:jc w:val="center"/>
                  </w:pPr>
                  <w:r>
                    <w:t xml:space="preserve">30.60%</w:t>
                  </w:r>
                </w:p>
              </w:tc>
            </w:tr>
            <w:tr>
              <w:tc>
                <w:tcPr/>
                <w:p>
                  <w:pPr>
                    <w:pStyle w:val="Compact"/>
                    <w:jc w:val="left"/>
                    <w:jc w:val="center"/>
                  </w:pPr>
                  <w:r>
                    <w:t xml:space="preserve">NÃO RESOLVIDA</w:t>
                  </w:r>
                </w:p>
              </w:tc>
              <w:tc>
                <w:tcPr/>
                <w:p>
                  <w:pPr>
                    <w:pStyle w:val="Compact"/>
                    <w:jc w:val="right"/>
                    <w:jc w:val="center"/>
                  </w:pPr>
                  <w:r>
                    <w:t xml:space="preserve">270003</w:t>
                  </w:r>
                </w:p>
              </w:tc>
              <w:tc>
                <w:tcPr/>
                <w:p>
                  <w:pPr>
                    <w:pStyle w:val="Compact"/>
                    <w:jc w:val="right"/>
                    <w:jc w:val="center"/>
                  </w:pPr>
                  <w:r>
                    <w:t xml:space="preserve">22.44%</w:t>
                  </w:r>
                </w:p>
              </w:tc>
            </w:tr>
          </w:tbl>
          <w:bookmarkEnd w:id="74"/>
          <w:p/>
        </w:tc>
      </w:tr>
    </w:tbl>
    <w:p>
      <w:pPr>
        <w:pStyle w:val="Corpodetexto"/>
      </w:pPr>
      <w:r>
        <w:t xml:space="preserve">No judiciário, apresentamos as proporções de cada tipo de decisão. Essas informações não estão padronizadas no TJSP; para extrair esse dado, aplicamos palavras-chave às movimentações do processo. Primeiro, identificamos as movimentações que apresentam alguma informação sobre acordo ou procedência da ação. Em seguida, classificamos as movimentações como sendo uma movimentação de transação de acordo ou decião de mérito. Finalmente, classificamos a decisão de cada processo, de acordo com os tipos de movimentação existentes. O resultado é o observado n</w:t>
      </w:r>
      <w:r>
        <w:t xml:space="preserve"> </w:t>
      </w:r>
      <w:hyperlink w:anchor="tbl-resolucao-tjsp">
        <w:r>
          <w:rPr>
            <w:rStyle w:val="Hyperlink"/>
          </w:rPr>
          <w:t xml:space="preserve">Table 10</w:t>
        </w:r>
      </w:hyperlink>
      <w:r>
        <w:t xml:space="preserve">. Primeiro, é interessante notar a taxa de quase 60% de casos que acabam em acordo. Isso significa que mais da metade dos casos, apesar de serem judicializados, acabam em composição amigável, um indicativo de que tais casos poderiam ter evitado a via judicial. Dentro das decisões de mérito, a decisão improcedente é a mais comum, mas a soma das proporções de parcialmente procedente e procedente dá ma proporção maior que a de improcedentes.</w:t>
      </w:r>
    </w:p>
    <w:tbl>
      <w:tblPr>
        <w:tblStyle w:val="Table"/>
        <w:tblW w:type="pct" w:w="5000"/>
        <w:tblLook w:firstRow="0" w:lastRow="0" w:firstColumn="0" w:lastColumn="0" w:noHBand="0" w:noVBand="0" w:val="0000"/>
        <w:jc w:val="start"/>
        <w:tblLayout w:type="fixed"/>
      </w:tblPr>
      <w:tblGrid>
        <w:gridCol w:w="7920"/>
      </w:tblGrid>
      <w:tr>
        <w:tc>
          <w:tcPr/>
          <w:bookmarkStart w:id="75" w:name="tbl-resolucao-tjsp"/>
          <w:p>
            <w:pPr>
              <w:jc w:val="center"/>
            </w:pPr>
            <w:pPr>
              <w:jc w:val="start"/>
              <w:spacing w:before="200"/>
              <w:pStyle w:val="ImageCaption"/>
            </w:pPr>
            <w:r>
              <w:t xml:space="preserve">Table 10: Taxa de resolução das reclamações no TJSP.</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jc w:val="center"/>
                  </w:pPr>
                  <w:r>
                    <w:t xml:space="preserve">decisao</w:t>
                  </w:r>
                </w:p>
              </w:tc>
              <w:tc>
                <w:tcPr/>
                <w:p>
                  <w:pPr>
                    <w:pStyle w:val="Compact"/>
                    <w:jc w:val="right"/>
                    <w:jc w:val="center"/>
                  </w:pPr>
                  <w:r>
                    <w:t xml:space="preserve">n</w:t>
                  </w:r>
                </w:p>
              </w:tc>
              <w:tc>
                <w:tcPr/>
                <w:p>
                  <w:pPr>
                    <w:pStyle w:val="Compact"/>
                    <w:jc w:val="right"/>
                    <w:jc w:val="center"/>
                  </w:pPr>
                  <w:r>
                    <w:t xml:space="preserve">prop</w:t>
                  </w:r>
                </w:p>
              </w:tc>
            </w:tr>
            <w:tr>
              <w:tc>
                <w:tcPr/>
                <w:p>
                  <w:pPr>
                    <w:pStyle w:val="Compact"/>
                    <w:jc w:val="left"/>
                    <w:jc w:val="center"/>
                  </w:pPr>
                  <w:r>
                    <w:t xml:space="preserve">Acordo</w:t>
                  </w:r>
                </w:p>
              </w:tc>
              <w:tc>
                <w:tcPr/>
                <w:p>
                  <w:pPr>
                    <w:pStyle w:val="Compact"/>
                    <w:jc w:val="right"/>
                    <w:jc w:val="center"/>
                  </w:pPr>
                  <w:r>
                    <w:t xml:space="preserve">5960</w:t>
                  </w:r>
                </w:p>
              </w:tc>
              <w:tc>
                <w:tcPr/>
                <w:p>
                  <w:pPr>
                    <w:pStyle w:val="Compact"/>
                    <w:jc w:val="right"/>
                    <w:jc w:val="center"/>
                  </w:pPr>
                  <w:r>
                    <w:t xml:space="preserve">60.12%</w:t>
                  </w:r>
                </w:p>
              </w:tc>
            </w:tr>
            <w:tr>
              <w:tc>
                <w:tcPr/>
                <w:p>
                  <w:pPr>
                    <w:pStyle w:val="Compact"/>
                    <w:jc w:val="left"/>
                    <w:jc w:val="center"/>
                  </w:pPr>
                  <w:r>
                    <w:t xml:space="preserve">Improcedente</w:t>
                  </w:r>
                </w:p>
              </w:tc>
              <w:tc>
                <w:tcPr/>
                <w:p>
                  <w:pPr>
                    <w:pStyle w:val="Compact"/>
                    <w:jc w:val="right"/>
                    <w:jc w:val="center"/>
                  </w:pPr>
                  <w:r>
                    <w:t xml:space="preserve">1543</w:t>
                  </w:r>
                </w:p>
              </w:tc>
              <w:tc>
                <w:tcPr/>
                <w:p>
                  <w:pPr>
                    <w:pStyle w:val="Compact"/>
                    <w:jc w:val="right"/>
                    <w:jc w:val="center"/>
                  </w:pPr>
                  <w:r>
                    <w:t xml:space="preserve">15.57%</w:t>
                  </w:r>
                </w:p>
              </w:tc>
            </w:tr>
            <w:tr>
              <w:tc>
                <w:tcPr/>
                <w:p>
                  <w:pPr>
                    <w:pStyle w:val="Compact"/>
                    <w:jc w:val="left"/>
                    <w:jc w:val="center"/>
                  </w:pPr>
                  <w:r>
                    <w:t xml:space="preserve">Parcial</w:t>
                  </w:r>
                </w:p>
              </w:tc>
              <w:tc>
                <w:tcPr/>
                <w:p>
                  <w:pPr>
                    <w:pStyle w:val="Compact"/>
                    <w:jc w:val="right"/>
                    <w:jc w:val="center"/>
                  </w:pPr>
                  <w:r>
                    <w:t xml:space="preserve">1460</w:t>
                  </w:r>
                </w:p>
              </w:tc>
              <w:tc>
                <w:tcPr/>
                <w:p>
                  <w:pPr>
                    <w:pStyle w:val="Compact"/>
                    <w:jc w:val="right"/>
                    <w:jc w:val="center"/>
                  </w:pPr>
                  <w:r>
                    <w:t xml:space="preserve">14.73%</w:t>
                  </w:r>
                </w:p>
              </w:tc>
            </w:tr>
            <w:tr>
              <w:tc>
                <w:tcPr/>
                <w:p>
                  <w:pPr>
                    <w:pStyle w:val="Compact"/>
                    <w:jc w:val="left"/>
                    <w:jc w:val="center"/>
                  </w:pPr>
                  <w:r>
                    <w:t xml:space="preserve">Procedente</w:t>
                  </w:r>
                </w:p>
              </w:tc>
              <w:tc>
                <w:tcPr/>
                <w:p>
                  <w:pPr>
                    <w:pStyle w:val="Compact"/>
                    <w:jc w:val="right"/>
                    <w:jc w:val="center"/>
                  </w:pPr>
                  <w:r>
                    <w:t xml:space="preserve">950</w:t>
                  </w:r>
                </w:p>
              </w:tc>
              <w:tc>
                <w:tcPr/>
                <w:p>
                  <w:pPr>
                    <w:pStyle w:val="Compact"/>
                    <w:jc w:val="right"/>
                    <w:jc w:val="center"/>
                  </w:pPr>
                  <w:r>
                    <w:t xml:space="preserve">9.58%</w:t>
                  </w:r>
                </w:p>
              </w:tc>
            </w:tr>
          </w:tbl>
          <w:bookmarkEnd w:id="75"/>
          <w:p/>
        </w:tc>
      </w:tr>
    </w:tbl>
    <w:bookmarkEnd w:id="76"/>
    <w:bookmarkStart w:id="85" w:name="Xe5eb188e0ea3aa2b1318f969d2f4a17f88a7a91"/>
    <w:p>
      <w:pPr>
        <w:pStyle w:val="Ttulo3"/>
      </w:pPr>
      <w:r>
        <w:t xml:space="preserve">Qual é o tempo típico de duração das reclamações e processos?</w:t>
      </w:r>
    </w:p>
    <w:p>
      <w:pPr>
        <w:pStyle w:val="FirstParagraph"/>
      </w:pPr>
      <w:r>
        <w:t xml:space="preserve">A</w:t>
      </w:r>
      <w:r>
        <w:t xml:space="preserve"> </w:t>
      </w:r>
      <w:hyperlink w:anchor="fig-duracao-cgov">
        <w:r>
          <w:rPr>
            <w:rStyle w:val="Hyperlink"/>
          </w:rPr>
          <w:t xml:space="preserve">Figure 9</w:t>
        </w:r>
      </w:hyperlink>
      <w:r>
        <w:t xml:space="preserve"> </w:t>
      </w:r>
      <w:r>
        <w:t xml:space="preserve">mostra o tempo de resposta nas reclamações no CGOV. A média de tempo está entre 6 e 7 dias, enquanto a mediana é de 8 dias.</w:t>
      </w:r>
    </w:p>
    <w:tbl>
      <w:tblPr>
        <w:tblStyle w:val="Table"/>
        <w:tblW w:type="pct" w:w="5000"/>
        <w:tblLook w:firstRow="0" w:lastRow="0" w:firstColumn="0" w:lastColumn="0" w:noHBand="0" w:noVBand="0" w:val="0000"/>
        <w:jc w:val="start"/>
        <w:tblLayout w:type="fixed"/>
      </w:tblPr>
      <w:tblGrid>
        <w:gridCol w:w="7920"/>
      </w:tblGrid>
      <w:tr>
        <w:tc>
          <w:tcPr/>
          <w:bookmarkStart w:id="80" w:name="fig-duracao-cgov"/>
          <w:p>
            <w:pPr>
              <w:pStyle w:val="Compact"/>
              <w:jc w:val="center"/>
            </w:pPr>
            <w:r>
              <w:drawing>
                <wp:inline>
                  <wp:extent cx="4587290" cy="3669832"/>
                  <wp:effectExtent b="0" l="0" r="0" t="0"/>
                  <wp:docPr descr="" title="" id="78" name="Picture"/>
                  <a:graphic>
                    <a:graphicData uri="http://schemas.openxmlformats.org/drawingml/2006/picture">
                      <pic:pic>
                        <pic:nvPicPr>
                          <pic:cNvPr descr="relatorio_files/figure-docx/fig-duracao-cgov-1.png" id="79" name="Picture"/>
                          <pic:cNvPicPr>
                            <a:picLocks noChangeArrowheads="1" noChangeAspect="1"/>
                          </pic:cNvPicPr>
                        </pic:nvPicPr>
                        <pic:blipFill>
                          <a:blip r:embed="rId77"/>
                          <a:stretch>
                            <a:fillRect/>
                          </a:stretch>
                        </pic:blipFill>
                        <pic:spPr bwMode="auto">
                          <a:xfrm>
                            <a:off x="0" y="0"/>
                            <a:ext cx="4587290" cy="36698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Histograma dos tempos de resposta no CGOV.</w:t>
            </w:r>
          </w:p>
          <w:bookmarkEnd w:id="80"/>
        </w:tc>
      </w:tr>
    </w:tbl>
    <w:p>
      <w:pPr>
        <w:pStyle w:val="Corpodetexto"/>
      </w:pPr>
      <w:r>
        <w:t xml:space="preserve">A</w:t>
      </w:r>
      <w:r>
        <w:t xml:space="preserve"> </w:t>
      </w:r>
      <w:hyperlink w:anchor="fig-duracao-tjsp">
        <w:r>
          <w:rPr>
            <w:rStyle w:val="Hyperlink"/>
          </w:rPr>
          <w:t xml:space="preserve">Figure 10</w:t>
        </w:r>
      </w:hyperlink>
      <w:r>
        <w:t xml:space="preserve"> </w:t>
      </w:r>
      <w:r>
        <w:t xml:space="preserve">mostra o tempo dos processos no TJSP separados por classe processual. A média de tempo está entre 10 e 11 meses, enquanto a mediana está entre 5 e 6 meses. Ou seja, o tempo dos processos do TJSP é muito maior do que os tempos de resposta do CGOV.</w:t>
      </w:r>
    </w:p>
    <w:tbl>
      <w:tblPr>
        <w:tblStyle w:val="Table"/>
        <w:tblW w:type="pct" w:w="5000"/>
        <w:tblLook w:firstRow="0" w:lastRow="0" w:firstColumn="0" w:lastColumn="0" w:noHBand="0" w:noVBand="0" w:val="0000"/>
        <w:jc w:val="start"/>
        <w:tblLayout w:type="fixed"/>
      </w:tblPr>
      <w:tblGrid>
        <w:gridCol w:w="7920"/>
      </w:tblGrid>
      <w:tr>
        <w:tc>
          <w:tcPr/>
          <w:bookmarkStart w:id="84" w:name="fig-duracao-tjsp"/>
          <w:p>
            <w:pPr>
              <w:pStyle w:val="Compact"/>
              <w:jc w:val="center"/>
            </w:pPr>
            <w:r>
              <w:drawing>
                <wp:inline>
                  <wp:extent cx="4587290" cy="3669832"/>
                  <wp:effectExtent b="0" l="0" r="0" t="0"/>
                  <wp:docPr descr="" title="" id="82" name="Picture"/>
                  <a:graphic>
                    <a:graphicData uri="http://schemas.openxmlformats.org/drawingml/2006/picture">
                      <pic:pic>
                        <pic:nvPicPr>
                          <pic:cNvPr descr="relatorio_files/figure-docx/fig-duracao-tjsp-1.png" id="83" name="Picture"/>
                          <pic:cNvPicPr>
                            <a:picLocks noChangeArrowheads="1" noChangeAspect="1"/>
                          </pic:cNvPicPr>
                        </pic:nvPicPr>
                        <pic:blipFill>
                          <a:blip r:embed="rId81"/>
                          <a:stretch>
                            <a:fillRect/>
                          </a:stretch>
                        </pic:blipFill>
                        <pic:spPr bwMode="auto">
                          <a:xfrm>
                            <a:off x="0" y="0"/>
                            <a:ext cx="4587290" cy="36698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Histograma dos tempos dos processos no TJSP, separados por classe processual.</w:t>
            </w:r>
          </w:p>
          <w:bookmarkEnd w:id="84"/>
        </w:tc>
      </w:tr>
    </w:tbl>
    <w:bookmarkEnd w:id="85"/>
    <w:bookmarkStart w:id="90" w:name="Xf54edee369e7cec14f7d37ce6246e277bd9bbb8"/>
    <w:p>
      <w:pPr>
        <w:pStyle w:val="Ttulo3"/>
      </w:pPr>
      <w:r>
        <w:t xml:space="preserve">Outras análises não relacionadas às questões norteadoras</w:t>
      </w:r>
    </w:p>
    <w:p>
      <w:pPr>
        <w:pStyle w:val="FirstParagraph"/>
      </w:pPr>
      <w:r>
        <w:t xml:space="preserve">A</w:t>
      </w:r>
      <w:r>
        <w:t xml:space="preserve"> </w:t>
      </w:r>
      <w:hyperlink w:anchor="fig-valores-tjsp">
        <w:r>
          <w:rPr>
            <w:rStyle w:val="Hyperlink"/>
          </w:rPr>
          <w:t xml:space="preserve">Figure 11</w:t>
        </w:r>
      </w:hyperlink>
      <w:r>
        <w:t xml:space="preserve"> </w:t>
      </w:r>
      <w:r>
        <w:t xml:space="preserve">mostra os valores dos processos no TJSP. É possível notar que grande parte dos casos têm valores menores que 20 salários mínimos, mesmo nos casos de classe procedimento comum cível.</w:t>
      </w:r>
    </w:p>
    <w:tbl>
      <w:tblPr>
        <w:tblStyle w:val="Table"/>
        <w:tblW w:type="pct" w:w="5000"/>
        <w:tblLook w:firstRow="0" w:lastRow="0" w:firstColumn="0" w:lastColumn="0" w:noHBand="0" w:noVBand="0" w:val="0000"/>
        <w:jc w:val="start"/>
        <w:tblLayout w:type="fixed"/>
      </w:tblPr>
      <w:tblGrid>
        <w:gridCol w:w="7920"/>
      </w:tblGrid>
      <w:tr>
        <w:tc>
          <w:tcPr/>
          <w:bookmarkStart w:id="89" w:name="fig-valores-tjsp"/>
          <w:p>
            <w:pPr>
              <w:pStyle w:val="Compact"/>
              <w:jc w:val="center"/>
            </w:pPr>
            <w:r>
              <w:drawing>
                <wp:inline>
                  <wp:extent cx="4587290" cy="3669832"/>
                  <wp:effectExtent b="0" l="0" r="0" t="0"/>
                  <wp:docPr descr="" title="" id="87" name="Picture"/>
                  <a:graphic>
                    <a:graphicData uri="http://schemas.openxmlformats.org/drawingml/2006/picture">
                      <pic:pic>
                        <pic:nvPicPr>
                          <pic:cNvPr descr="relatorio_files/figure-docx/fig-valores-tjsp-1.png" id="88" name="Picture"/>
                          <pic:cNvPicPr>
                            <a:picLocks noChangeArrowheads="1" noChangeAspect="1"/>
                          </pic:cNvPicPr>
                        </pic:nvPicPr>
                        <pic:blipFill>
                          <a:blip r:embed="rId86"/>
                          <a:stretch>
                            <a:fillRect/>
                          </a:stretch>
                        </pic:blipFill>
                        <pic:spPr bwMode="auto">
                          <a:xfrm>
                            <a:off x="0" y="0"/>
                            <a:ext cx="4587290" cy="36698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Distribuição dos valores dos processos no TJSP, separando por classe processual.</w:t>
            </w:r>
          </w:p>
          <w:bookmarkEnd w:id="89"/>
        </w:tc>
      </w:tr>
    </w:tbl>
    <w:bookmarkEnd w:id="90"/>
    <w:bookmarkEnd w:id="91"/>
    <w:bookmarkStart w:id="92" w:name="discussão"/>
    <w:p>
      <w:pPr>
        <w:pStyle w:val="Ttulo2"/>
      </w:pPr>
      <w:r>
        <w:t xml:space="preserve">Discussão</w:t>
      </w:r>
    </w:p>
    <w:p>
      <w:pPr>
        <w:pStyle w:val="FirstParagraph"/>
      </w:pPr>
      <w:r>
        <w:t xml:space="preserve">TODO</w:t>
      </w:r>
    </w:p>
    <w:bookmarkEnd w:id="92"/>
    <w:bookmarkStart w:id="93" w:name="conclusão"/>
    <w:p>
      <w:pPr>
        <w:pStyle w:val="Ttulo1"/>
      </w:pPr>
      <w:r>
        <w:t xml:space="preserve">Conclusão</w:t>
      </w:r>
    </w:p>
    <w:p>
      <w:pPr>
        <w:pStyle w:val="FirstParagraph"/>
      </w:pPr>
      <w:r>
        <w:t xml:space="preserve">TODO</w:t>
      </w:r>
    </w:p>
    <w:bookmarkEnd w:id="93"/>
    <w:sectPr w:rsidR="00F15E69" w:rsidSect="00155855">
      <w:headerReference r:id="rId9" w:type="default"/>
      <w:footerReference r:id="rId14" w:type="default"/>
      <w:headerReference r:id="rId11" w:type="first"/>
      <w:footerReference r:id="rId13" w:type="first"/>
      <w:pgSz w:h="15840" w:w="12240"/>
      <w:pgMar w:bottom="1418" w:footer="720" w:gutter="0" w:header="720" w:left="1418" w:right="1418" w:top="1418"/>
      <w:pgNumType w:start="0"/>
      <w:cols w:space="720"/>
      <w:titlePg/>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210785"/>
      <w:docPartObj>
        <w:docPartGallery w:val="Page Numbers (Bottom of Page)"/>
        <w:docPartUnique/>
      </w:docPartObj>
    </w:sdtPr>
    <w:sdtContent>
      <w:p w14:paraId="7B330F97" w14:textId="725A86C4" w:rsidR="00C87C85" w:rsidRDefault="00C87C85">
        <w:pPr>
          <w:pStyle w:val="Rodap"/>
          <w:jc w:val="right"/>
        </w:pPr>
        <w:r>
          <w:fldChar w:fldCharType="begin"/>
        </w:r>
        <w:r>
          <w:instrText>PAGE   \* MERGEFORMAT</w:instrText>
        </w:r>
        <w:r>
          <w:fldChar w:fldCharType="separate"/>
        </w:r>
        <w:r>
          <w:t>2</w:t>
        </w:r>
        <w:r>
          <w:fldChar w:fldCharType="end"/>
        </w:r>
      </w:p>
    </w:sdtContent>
  </w:sdt>
  <w:p w14:paraId="61451FFC" w14:textId="77777777" w:rsidR="00C87C85" w:rsidRDefault="00C87C8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98EA" w14:textId="77777777" w:rsidR="00C87C85" w:rsidRDefault="00C87C85" w:rsidP="00C87C85">
    <w:pPr>
      <w:pStyle w:val="Rodap"/>
      <w:jc w:val="center"/>
    </w:pPr>
  </w:p>
  <w:p w14:paraId="725F43F6" w14:textId="77777777" w:rsidR="00C87C85" w:rsidRDefault="00C87C85" w:rsidP="00C87C85">
    <w:pPr>
      <w:pStyle w:val="Rodap"/>
      <w:jc w:val="center"/>
    </w:pPr>
    <w:r>
      <w:t>Associação Brasileira de Jurimetria - CNPJ: 13.612.840/0001-57</w:t>
    </w:r>
  </w:p>
  <w:p w14:paraId="4BBF376B" w14:textId="0667B7C7" w:rsidR="00C87C85" w:rsidRDefault="00C87C85" w:rsidP="00C87C85">
    <w:pPr>
      <w:pStyle w:val="Rodap"/>
      <w:jc w:val="center"/>
    </w:pPr>
    <w:r>
      <w:t xml:space="preserve"> Rua Bela Cintra - 768 - conjunto 102 - 10º andar- CEP 01415-000 - Consolação, São Paulo - SP</w:t>
    </w:r>
  </w:p>
  <w:p w14:paraId="416EC8B7" w14:textId="36334B2A" w:rsidR="00C87C85" w:rsidRDefault="00000000" w:rsidP="00C87C85">
    <w:pPr>
      <w:pStyle w:val="Rodap"/>
      <w:jc w:val="center"/>
    </w:pPr>
    <w:hyperlink r:id="rId1" w:history="1">
      <w:r w:rsidR="00C87C85" w:rsidRPr="00C17CC0">
        <w:rPr>
          <w:rStyle w:val="Hyperlink"/>
        </w:rPr>
        <w:t>https://abj.org.br</w:t>
      </w:r>
    </w:hyperlink>
    <w:r w:rsidR="00C87C8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477381"/>
      <w:docPartObj>
        <w:docPartGallery w:val="Page Numbers (Bottom of Page)"/>
        <w:docPartUnique/>
      </w:docPartObj>
    </w:sdtPr>
    <w:sdtContent>
      <w:p w14:paraId="4FC1FE0B" w14:textId="66446C28" w:rsidR="00F15E69" w:rsidRDefault="00000000">
        <w:pPr>
          <w:pStyle w:val="Rodap"/>
          <w:jc w:val="right"/>
        </w:pPr>
      </w:p>
    </w:sdtContent>
  </w:sdt>
  <w:p w14:paraId="603BD019" w14:textId="77777777" w:rsidR="00F15E69" w:rsidRDefault="00F15E69">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679386"/>
      <w:docPartObj>
        <w:docPartGallery w:val="Page Numbers (Bottom of Page)"/>
        <w:docPartUnique/>
      </w:docPartObj>
    </w:sdtPr>
    <w:sdtContent>
      <w:p w14:paraId="3845C0C9" w14:textId="6794E508" w:rsidR="00F15E69" w:rsidRDefault="00F15E69">
        <w:pPr>
          <w:pStyle w:val="Rodap"/>
          <w:jc w:val="right"/>
        </w:pPr>
        <w:r>
          <w:fldChar w:fldCharType="begin"/>
        </w:r>
        <w:r>
          <w:instrText>PAGE   \* MERGEFORMAT</w:instrText>
        </w:r>
        <w:r>
          <w:fldChar w:fldCharType="separate"/>
        </w:r>
        <w:r>
          <w:t>2</w:t>
        </w:r>
        <w:r>
          <w:fldChar w:fldCharType="end"/>
        </w:r>
      </w:p>
    </w:sdtContent>
  </w:sdt>
  <w:p w14:paraId="4F01C476" w14:textId="61774959" w:rsidR="00F15E69" w:rsidRDefault="00F15E69" w:rsidP="00C87C85">
    <w:pPr>
      <w:pStyle w:val="Rodap"/>
      <w:jc w:val="cen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FE7CF" w14:textId="16F2AE5F" w:rsidR="00C87C85" w:rsidRDefault="00155855" w:rsidP="00F15E69">
    <w:pPr>
      <w:pStyle w:val="Cabealho"/>
      <w:jc w:val="right"/>
    </w:pPr>
    <w:r>
      <w:fldChar w:fldCharType="begin"/>
    </w:r>
    <w:r>
      <w:instrText xml:space="preserve"> STYLEREF  "Título 1"  \* MERGEFORMAT </w:instrText>
    </w:r>
    <w:r>
      <w:fldChar w:fldCharType="separate"/>
    </w:r>
    <w:r w:rsidR="00F15E69">
      <w:rPr>
        <w:b/>
        <w:bCs/>
        <w:noProof/>
      </w:rPr>
      <w:t>Erro! Nenhum texto com o estilo especificado foi encontrado no documento.</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71F5B" w14:textId="0304BB64" w:rsidR="00C87C85" w:rsidRDefault="00C87C85" w:rsidP="00C87C85">
    <w:pPr>
      <w:pStyle w:val="Cabealho"/>
      <w:jc w:val="right"/>
    </w:pPr>
    <w:r>
      <w:rPr>
        <w:noProof/>
        <w:color w:val="00000A"/>
        <w:sz w:val="10"/>
        <w:szCs w:val="10"/>
        <w:bdr w:val="none" w:sz="0" w:space="0" w:color="auto" w:frame="1"/>
      </w:rPr>
      <w:drawing>
        <wp:inline distT="0" distB="0" distL="0" distR="0" wp14:anchorId="312AB259" wp14:editId="7095A68B">
          <wp:extent cx="1190625" cy="523875"/>
          <wp:effectExtent l="0" t="0" r="9525" b="9525"/>
          <wp:docPr id="1"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Interface gráfica do usuári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5238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BC457" w14:textId="40C959C9" w:rsidR="00F15E69" w:rsidRDefault="00F15E69" w:rsidP="00F15E69">
    <w:pPr>
      <w:pStyle w:val="Cabealho"/>
      <w:jc w:val="right"/>
    </w:pPr>
    <w:r>
      <w:fldChar w:fldCharType="begin"/>
    </w:r>
    <w:r>
      <w:instrText xml:space="preserve"> STYLEREF  "Título 1"  \* MERGEFORMAT </w:instrText>
    </w:r>
    <w:r>
      <w:fldChar w:fldCharType="separate"/>
    </w:r>
    <w:r w:rsidR="00C86C65">
      <w:rPr>
        <w:b/>
        <w:bCs/>
        <w:noProof/>
      </w:rPr>
      <w:t>Erro! Nenhum texto com o estilo especificado foi encontrado no documento.</w:t>
    </w:r>
    <w:r>
      <w:fldChar w:fldCharType="end"/>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85989E4E"/>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08089E0A"/>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A98E5EC4"/>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8048B052"/>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9E6050E6"/>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D062C024"/>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C13CBA68"/>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577A74FA"/>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3D6476F2"/>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DBA8756"/>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0000A990"/>
    <w:multiLevelType w:val="multilevel"/>
    <w:tmpl w:val="64D47384"/>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1">
    <w:nsid w:val="0000A991"/>
    <w:multiLevelType w:val="multilevel"/>
    <w:tmpl w:val="BCB62C5C"/>
    <w:lvl w:ilvl="0">
      <w:numFmt w:val="bullet"/>
      <w:lvlText w:val="•"/>
      <w:lvlJc w:val="left"/>
      <w:pPr>
        <w:ind w:hanging="480" w:left="720"/>
      </w:pPr>
    </w:lvl>
    <w:lvl w:ilvl="1">
      <w:numFmt w:val="bullet"/>
      <w:lvlText w:val="–"/>
      <w:lvlJc w:val="left"/>
      <w:pPr>
        <w:ind w:hanging="480" w:left="1440"/>
      </w:pPr>
    </w:lvl>
    <w:lvl w:ilvl="2">
      <w:numFmt w:val="bullet"/>
      <w:lvlText w:val="•"/>
      <w:lvlJc w:val="left"/>
      <w:pPr>
        <w:ind w:hanging="480" w:left="2160"/>
      </w:pPr>
    </w:lvl>
    <w:lvl w:ilvl="3">
      <w:numFmt w:val="bullet"/>
      <w:lvlText w:val="–"/>
      <w:lvlJc w:val="left"/>
      <w:pPr>
        <w:ind w:hanging="480" w:left="2880"/>
      </w:pPr>
    </w:lvl>
    <w:lvl w:ilvl="4">
      <w:numFmt w:val="bullet"/>
      <w:lvlText w:val="•"/>
      <w:lvlJc w:val="left"/>
      <w:pPr>
        <w:ind w:hanging="480" w:left="3600"/>
      </w:pPr>
    </w:lvl>
    <w:lvl w:ilvl="5">
      <w:numFmt w:val="bullet"/>
      <w:lvlText w:val="–"/>
      <w:lvlJc w:val="left"/>
      <w:pPr>
        <w:ind w:hanging="480" w:left="4320"/>
      </w:pPr>
    </w:lvl>
    <w:lvl w:ilvl="6">
      <w:numFmt w:val="bullet"/>
      <w:lvlText w:val="•"/>
      <w:lvlJc w:val="left"/>
      <w:pPr>
        <w:ind w:hanging="480" w:left="5040"/>
      </w:pPr>
    </w:lvl>
    <w:lvl w:ilvl="7">
      <w:numFmt w:val="bullet"/>
      <w:lvlText w:val="–"/>
      <w:lvlJc w:val="left"/>
      <w:pPr>
        <w:ind w:hanging="480" w:left="5760"/>
      </w:pPr>
    </w:lvl>
    <w:lvl w:ilvl="8">
      <w:numFmt w:val="bullet"/>
      <w:lvlText w:val="•"/>
      <w:lvlJc w:val="left"/>
      <w:pPr>
        <w:ind w:hanging="480" w:left="6480"/>
      </w:pPr>
    </w:lvl>
  </w:abstractNum>
  <w:abstractNum w15:restartNumberingAfterBreak="0" w:abstractNumId="12">
    <w:nsid w:val="00A99411"/>
    <w:multiLevelType w:val="multilevel"/>
    <w:tmpl w:val="363C2704"/>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16cid:durableId="69431543" w:numId="1">
    <w:abstractNumId w:val="10"/>
  </w:num>
  <w:num w16cid:durableId="404575644" w:numId="2">
    <w:abstractNumId w:val="11"/>
  </w:num>
  <w:num w16cid:durableId="435446727" w:numId="3">
    <w:abstractNumId w:val="11"/>
  </w:num>
  <w:num w16cid:durableId="1485005307"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856234251" w:numId="5">
    <w:abstractNumId w:val="11"/>
  </w:num>
  <w:num w16cid:durableId="1979988738" w:numId="6">
    <w:abstractNumId w:val="11"/>
  </w:num>
  <w:num w16cid:durableId="1913545803" w:numId="7">
    <w:abstractNumId w:val="9"/>
  </w:num>
  <w:num w16cid:durableId="1114054951" w:numId="8">
    <w:abstractNumId w:val="7"/>
  </w:num>
  <w:num w16cid:durableId="305162575" w:numId="9">
    <w:abstractNumId w:val="6"/>
  </w:num>
  <w:num w16cid:durableId="1360156654" w:numId="10">
    <w:abstractNumId w:val="5"/>
  </w:num>
  <w:num w16cid:durableId="771320521" w:numId="11">
    <w:abstractNumId w:val="4"/>
  </w:num>
  <w:num w16cid:durableId="40327899" w:numId="12">
    <w:abstractNumId w:val="8"/>
  </w:num>
  <w:num w16cid:durableId="1132669381" w:numId="13">
    <w:abstractNumId w:val="3"/>
  </w:num>
  <w:num w16cid:durableId="2068141743" w:numId="14">
    <w:abstractNumId w:val="2"/>
  </w:num>
  <w:num w16cid:durableId="85274579" w:numId="15">
    <w:abstractNumId w:val="1"/>
  </w:num>
  <w:num w16cid:durableId="1231696422" w:numId="16">
    <w:abstractNumId w:val="0"/>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doNotTrackMoves/>
  <w:savePreviewPicture/>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pt-BR"/>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1 Light" w:uiPriority="9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CA339C"/>
    <w:rPr>
      <w:rFonts w:ascii="Lato" w:hAnsi="Lato"/>
    </w:rPr>
  </w:style>
  <w:style w:styleId="Ttulo1" w:type="paragraph">
    <w:name w:val="heading 1"/>
    <w:basedOn w:val="Normal"/>
    <w:next w:val="Corpodetexto"/>
    <w:uiPriority w:val="9"/>
    <w:qFormat/>
    <w:rsid w:val="00AF5086"/>
    <w:pPr>
      <w:keepNext/>
      <w:keepLines/>
      <w:pageBreakBefore/>
      <w:spacing w:after="0" w:before="480"/>
      <w:outlineLvl w:val="0"/>
    </w:pPr>
    <w:rPr>
      <w:rFonts w:asciiTheme="majorHAnsi" w:cstheme="majorBidi" w:eastAsiaTheme="majorEastAsia" w:hAnsiTheme="majorHAnsi"/>
      <w:b/>
      <w:bCs/>
      <w:color w:val="233262"/>
      <w:sz w:val="32"/>
      <w:szCs w:val="32"/>
    </w:rPr>
  </w:style>
  <w:style w:styleId="Ttulo2" w:type="paragraph">
    <w:name w:val="heading 2"/>
    <w:basedOn w:val="Normal"/>
    <w:next w:val="Corpodetexto"/>
    <w:autoRedefine/>
    <w:uiPriority w:val="9"/>
    <w:unhideWhenUsed/>
    <w:qFormat/>
    <w:rsid w:val="0039709D"/>
    <w:pPr>
      <w:keepNext/>
      <w:keepLines/>
      <w:spacing w:after="0" w:before="200"/>
      <w:outlineLvl w:val="1"/>
    </w:pPr>
    <w:rPr>
      <w:rFonts w:cstheme="majorBidi" w:eastAsiaTheme="majorEastAsia"/>
      <w:b/>
      <w:bCs/>
      <w:color w:val="233262"/>
      <w:sz w:val="28"/>
      <w:szCs w:val="28"/>
    </w:rPr>
  </w:style>
  <w:style w:styleId="Ttulo3" w:type="paragraph">
    <w:name w:val="heading 3"/>
    <w:basedOn w:val="Normal"/>
    <w:next w:val="Corpodetexto"/>
    <w:autoRedefine/>
    <w:uiPriority w:val="9"/>
    <w:unhideWhenUsed/>
    <w:qFormat/>
    <w:rsid w:val="008C6290"/>
    <w:pPr>
      <w:keepNext/>
      <w:keepLines/>
      <w:spacing w:after="0" w:before="200"/>
      <w:outlineLvl w:val="2"/>
    </w:pPr>
    <w:rPr>
      <w:rFonts w:asciiTheme="majorHAnsi" w:cstheme="majorBidi" w:eastAsiaTheme="majorEastAsia" w:hAnsiTheme="majorHAnsi"/>
      <w:b/>
      <w:bCs/>
      <w:color w:val="233262"/>
    </w:rPr>
  </w:style>
  <w:style w:styleId="Ttulo4" w:type="paragraph">
    <w:name w:val="heading 4"/>
    <w:basedOn w:val="Normal"/>
    <w:next w:val="Corpodetexto"/>
    <w:uiPriority w:val="9"/>
    <w:unhideWhenUsed/>
    <w:qFormat/>
    <w:rsid w:val="008C6290"/>
    <w:pPr>
      <w:keepNext/>
      <w:keepLines/>
      <w:spacing w:after="0" w:before="200"/>
      <w:outlineLvl w:val="3"/>
    </w:pPr>
    <w:rPr>
      <w:rFonts w:cstheme="majorBidi" w:eastAsiaTheme="majorEastAsia"/>
      <w:bCs/>
      <w:i/>
      <w:color w:val="233262"/>
    </w:rPr>
  </w:style>
  <w:style w:styleId="Ttulo5" w:type="paragraph">
    <w:name w:val="heading 5"/>
    <w:basedOn w:val="Normal"/>
    <w:next w:val="Corpodetexto"/>
    <w:autoRedefine/>
    <w:uiPriority w:val="9"/>
    <w:unhideWhenUsed/>
    <w:qFormat/>
    <w:rsid w:val="008C6290"/>
    <w:pPr>
      <w:keepNext/>
      <w:keepLines/>
      <w:spacing w:after="0" w:before="200"/>
      <w:outlineLvl w:val="4"/>
    </w:pPr>
    <w:rPr>
      <w:rFonts w:cstheme="majorBidi" w:eastAsiaTheme="majorEastAsia"/>
      <w:iCs/>
      <w:color w:val="233262"/>
    </w:rPr>
  </w:style>
  <w:style w:styleId="Ttulo6" w:type="paragraph">
    <w:name w:val="heading 6"/>
    <w:basedOn w:val="Normal"/>
    <w:next w:val="Corpodetexto"/>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Ttulo7" w:type="paragraph">
    <w:name w:val="heading 7"/>
    <w:basedOn w:val="Normal"/>
    <w:next w:val="Corpodetexto"/>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Ttulo8" w:type="paragraph">
    <w:name w:val="heading 8"/>
    <w:basedOn w:val="Normal"/>
    <w:next w:val="Corpodetexto"/>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Ttulo9" w:type="paragraph">
    <w:name w:val="heading 9"/>
    <w:basedOn w:val="Normal"/>
    <w:next w:val="Corpodetexto"/>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Fontepargpadro" w:type="character">
    <w:name w:val="Default Paragraph Font"/>
    <w:uiPriority w:val="1"/>
    <w:semiHidden/>
    <w:unhideWhenUsed/>
  </w:style>
  <w:style w:default="1" w:styleId="Tabelanormal" w:type="table">
    <w:name w:val="Normal Table"/>
    <w:uiPriority w:val="99"/>
    <w:semiHidden/>
    <w:unhideWhenUsed/>
    <w:tblPr>
      <w:tblInd w:type="dxa" w:w="0"/>
      <w:tblCellMar>
        <w:top w:type="dxa" w:w="0"/>
        <w:left w:type="dxa" w:w="108"/>
        <w:bottom w:type="dxa" w:w="0"/>
        <w:right w:type="dxa" w:w="108"/>
      </w:tblCellMar>
    </w:tblPr>
  </w:style>
  <w:style w:default="1" w:styleId="Semlista" w:type="numbering">
    <w:name w:val="No List"/>
    <w:uiPriority w:val="99"/>
    <w:semiHidden/>
    <w:unhideWhenUsed/>
  </w:style>
  <w:style w:styleId="Corpodetexto" w:type="paragraph">
    <w:name w:val="Body Text"/>
    <w:basedOn w:val="Normal"/>
    <w:link w:val="CorpodetextoChar"/>
    <w:qFormat/>
    <w:rsid w:val="00CA7DCC"/>
    <w:pPr>
      <w:spacing w:after="180" w:before="180"/>
      <w:jc w:val="both"/>
    </w:pPr>
    <w:rPr>
      <w:sz w:val="20"/>
    </w:rPr>
  </w:style>
  <w:style w:customStyle="1" w:styleId="FirstParagraph" w:type="paragraph">
    <w:name w:val="First Paragraph"/>
    <w:basedOn w:val="Corpodetexto"/>
    <w:next w:val="Corpodetexto"/>
    <w:qFormat/>
  </w:style>
  <w:style w:customStyle="1" w:styleId="Compact" w:type="paragraph">
    <w:name w:val="Compact"/>
    <w:basedOn w:val="Corpodetexto"/>
    <w:qFormat/>
    <w:pPr>
      <w:spacing w:after="36" w:before="36"/>
    </w:pPr>
  </w:style>
  <w:style w:styleId="Ttulo" w:type="paragraph">
    <w:name w:val="Title"/>
    <w:basedOn w:val="Normal"/>
    <w:next w:val="Corpodetexto"/>
    <w:autoRedefine/>
    <w:qFormat/>
    <w:rsid w:val="009800A6"/>
    <w:pPr>
      <w:keepNext/>
      <w:keepLines/>
      <w:spacing w:after="240" w:before="3000"/>
      <w:jc w:val="center"/>
    </w:pPr>
    <w:rPr>
      <w:rFonts w:cstheme="majorBidi" w:eastAsiaTheme="majorEastAsia"/>
      <w:b/>
      <w:bCs/>
      <w:color w:val="233262"/>
      <w:sz w:val="36"/>
      <w:szCs w:val="36"/>
    </w:rPr>
  </w:style>
  <w:style w:styleId="Subttulo" w:type="paragraph">
    <w:name w:val="Subtitle"/>
    <w:basedOn w:val="Ttulo"/>
    <w:next w:val="Corpodetexto"/>
    <w:qFormat/>
    <w:pPr>
      <w:spacing w:before="240"/>
    </w:pPr>
    <w:rPr>
      <w:sz w:val="30"/>
      <w:szCs w:val="30"/>
    </w:rPr>
  </w:style>
  <w:style w:customStyle="1" w:styleId="Author" w:type="paragraph">
    <w:name w:val="Author"/>
    <w:next w:val="Corpodetexto"/>
    <w:autoRedefine/>
    <w:qFormat/>
    <w:rsid w:val="00CA7DCC"/>
    <w:pPr>
      <w:keepNext/>
      <w:keepLines/>
      <w:jc w:val="center"/>
    </w:pPr>
    <w:rPr>
      <w:rFonts w:ascii="Lato" w:hAnsi="Lato"/>
      <w:sz w:val="22"/>
    </w:rPr>
  </w:style>
  <w:style w:styleId="Data" w:type="paragraph">
    <w:name w:val="Date"/>
    <w:next w:val="Corpodetexto"/>
    <w:qFormat/>
    <w:pPr>
      <w:keepNext/>
      <w:keepLines/>
      <w:jc w:val="center"/>
    </w:pPr>
  </w:style>
  <w:style w:customStyle="1" w:styleId="Abstract" w:type="paragraph">
    <w:name w:val="Abstract"/>
    <w:basedOn w:val="Normal"/>
    <w:next w:val="Corpodetexto"/>
    <w:autoRedefine/>
    <w:qFormat/>
    <w:rsid w:val="008C6290"/>
    <w:pPr>
      <w:keepNext/>
      <w:keepLines/>
      <w:spacing w:after="300" w:before="300"/>
    </w:pPr>
    <w:rPr>
      <w:sz w:val="20"/>
      <w:szCs w:val="20"/>
    </w:rPr>
  </w:style>
  <w:style w:styleId="Bibliografia" w:type="paragraph">
    <w:name w:val="Bibliography"/>
    <w:basedOn w:val="Normal"/>
    <w:qFormat/>
  </w:style>
  <w:style w:styleId="Textoembloco" w:type="paragraph">
    <w:name w:val="Block Text"/>
    <w:basedOn w:val="Corpodetexto"/>
    <w:next w:val="Corpodetexto"/>
    <w:uiPriority w:val="9"/>
    <w:unhideWhenUsed/>
    <w:qFormat/>
    <w:pPr>
      <w:spacing w:after="100" w:before="100"/>
      <w:ind w:left="480" w:right="480"/>
    </w:pPr>
  </w:style>
  <w:style w:styleId="Textodenotaderodap" w:type="paragraph">
    <w:name w:val="footnote text"/>
    <w:basedOn w:val="Normal"/>
    <w:autoRedefine/>
    <w:uiPriority w:val="9"/>
    <w:unhideWhenUsed/>
    <w:qFormat/>
    <w:rsid w:val="00C87C85"/>
    <w:pPr>
      <w:spacing w:after="0"/>
    </w:pPr>
    <w:rPr>
      <w:sz w:val="16"/>
    </w:rPr>
  </w:style>
  <w:style w:customStyle="1" w:styleId="Table" w:type="table">
    <w:name w:val="Table"/>
    <w:semiHidden/>
    <w:unhideWhenUsed/>
    <w:qFormat/>
    <w:rsid w:val="00460CA9"/>
    <w:pPr>
      <w:spacing w:after="0"/>
      <w:jc w:val="center"/>
    </w:pPr>
    <w:rPr>
      <w:rFonts w:ascii="Lato" w:hAnsi="Lato"/>
      <w:sz w:val="20"/>
      <w:szCs w:val="20"/>
      <w:lang w:eastAsia="pt-BR"/>
    </w:rPr>
    <w:tblPr>
      <w:tblStyleRowBandSize w:val="1"/>
      <w:jc w:val="center"/>
      <w:tblInd w:type="dxa" w:w="0"/>
      <w:tblCellMar>
        <w:top w:type="dxa" w:w="0"/>
        <w:left w:type="dxa" w:w="108"/>
        <w:bottom w:type="dxa" w:w="0"/>
        <w:right w:type="dxa" w:w="108"/>
      </w:tblCellMar>
    </w:tblPr>
    <w:trPr>
      <w:jc w:val="center"/>
    </w:trPr>
    <w:tcPr>
      <w:vAlign w:val="center"/>
    </w:tcPr>
    <w:tblStylePr w:type="firstRow">
      <w:tblPr/>
      <w:tcPr>
        <w:tcBorders>
          <w:bottom w:color="auto" w:space="0" w:sz="4" w:val="single"/>
        </w:tcBorders>
        <w:shd w:color="auto" w:fill="D9D9D9" w:themeFill="background1" w:themeFillShade="D9" w:val="clear"/>
      </w:tcPr>
    </w:tblStylePr>
    <w:tblStylePr w:type="lastRow">
      <w:rPr>
        <w:rFonts w:ascii="Lato" w:hAnsi="Lato"/>
        <w:sz w:val="20"/>
      </w:rPr>
      <w:tblPr>
        <w:jc w:val="center"/>
      </w:tblPr>
      <w:trPr>
        <w:jc w:val="center"/>
      </w:trPr>
      <w:tcPr>
        <w:tcBorders>
          <w:top w:color="auto" w:space="0" w:sz="4" w:val="single"/>
          <w:bottom w:color="auto" w:space="0" w:sz="4" w:val="single"/>
        </w:tcBorders>
      </w:tcPr>
    </w:tblStylePr>
    <w:tblStylePr w:type="band2Horz">
      <w:rPr>
        <w:rFonts w:ascii="Lato" w:hAnsi="Lato"/>
        <w:sz w:val="20"/>
      </w:rPr>
      <w:tblPr/>
      <w:tcPr>
        <w:shd w:color="auto" w:fill="F2F2F2" w:themeFill="background1" w:themeFillShade="F2" w:val="clear"/>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Legenda" w:type="paragraph">
    <w:name w:val="caption"/>
    <w:basedOn w:val="Normal"/>
    <w:link w:val="LegendaChar"/>
    <w:pPr>
      <w:spacing w:after="120"/>
    </w:pPr>
    <w:rPr>
      <w:i/>
    </w:rPr>
  </w:style>
  <w:style w:customStyle="1" w:styleId="TableCaption" w:type="paragraph">
    <w:name w:val="Table Caption"/>
    <w:basedOn w:val="Legenda"/>
    <w:autoRedefine/>
    <w:rsid w:val="00755E8A"/>
    <w:pPr>
      <w:keepNext/>
      <w:jc w:val="center"/>
    </w:pPr>
    <w:rPr>
      <w:i w:val="0"/>
      <w:sz w:val="20"/>
    </w:rPr>
  </w:style>
  <w:style w:customStyle="1" w:styleId="ImageCaption" w:type="paragraph">
    <w:name w:val="Image Caption"/>
    <w:basedOn w:val="Legenda"/>
    <w:rsid w:val="004505C7"/>
    <w:pPr>
      <w:jc w:val="center"/>
    </w:pPr>
    <w:rPr>
      <w:i w:val="0"/>
      <w:sz w:val="20"/>
    </w:rPr>
  </w:style>
  <w:style w:customStyle="1" w:styleId="Figure" w:type="paragraph">
    <w:name w:val="Figure"/>
    <w:basedOn w:val="Normal"/>
  </w:style>
  <w:style w:customStyle="1" w:styleId="CaptionedFigure" w:type="paragraph">
    <w:name w:val="Captioned Figure"/>
    <w:basedOn w:val="Figure"/>
    <w:rsid w:val="00CA339C"/>
    <w:pPr>
      <w:keepNext/>
    </w:pPr>
    <w:rPr>
      <w:sz w:val="20"/>
    </w:rPr>
  </w:style>
  <w:style w:customStyle="1" w:styleId="LegendaChar" w:type="character">
    <w:name w:val="Legenda Char"/>
    <w:basedOn w:val="Fontepargpadro"/>
    <w:link w:val="Legenda"/>
  </w:style>
  <w:style w:customStyle="1" w:styleId="VerbatimChar" w:type="character">
    <w:name w:val="Verbatim Char"/>
    <w:basedOn w:val="LegendaChar"/>
    <w:link w:val="SourceCode"/>
    <w:rPr>
      <w:rFonts w:ascii="Consolas" w:hAnsi="Consolas"/>
      <w:sz w:val="22"/>
    </w:rPr>
  </w:style>
  <w:style w:customStyle="1" w:styleId="SectionNumber" w:type="character">
    <w:name w:val="Section Number"/>
    <w:basedOn w:val="LegendaChar"/>
  </w:style>
  <w:style w:styleId="Refdenotaderodap" w:type="character">
    <w:name w:val="footnote reference"/>
    <w:basedOn w:val="LegendaChar"/>
    <w:rPr>
      <w:vertAlign w:val="superscript"/>
    </w:rPr>
  </w:style>
  <w:style w:styleId="Hyperlink" w:type="character">
    <w:name w:val="Hyperlink"/>
    <w:basedOn w:val="LegendaChar"/>
    <w:uiPriority w:val="99"/>
    <w:rsid w:val="00755E8A"/>
    <w:rPr>
      <w:color w:val="3E8399"/>
    </w:rPr>
  </w:style>
  <w:style w:styleId="CabealhodoSumrio" w:type="paragraph">
    <w:name w:val="TOC Heading"/>
    <w:basedOn w:val="Ttulo1"/>
    <w:next w:val="Corpodetexto"/>
    <w:uiPriority w:val="39"/>
    <w:unhideWhenUsed/>
    <w:qFormat/>
    <w:rsid w:val="00050AB3"/>
    <w:pPr>
      <w:spacing w:before="240" w:line="360" w:lineRule="auto"/>
      <w:outlineLvl w:val="9"/>
    </w:pPr>
    <w:rPr>
      <w:rFonts w:ascii="Lato" w:hAnsi="Lato"/>
      <w:bCs w:val="0"/>
      <w:sz w:val="28"/>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color w:val="003B4F"/>
      <w:sz w:val="22"/>
      <w:shd w:color="auto" w:fill="F1F3F5" w:val="clear"/>
    </w:rPr>
  </w:style>
  <w:style w:customStyle="1" w:styleId="DataTypeTok" w:type="character">
    <w:name w:val="DataTypeTok"/>
    <w:basedOn w:val="VerbatimChar"/>
    <w:rPr>
      <w:rFonts w:ascii="Consolas" w:hAnsi="Consolas"/>
      <w:color w:val="AD0000"/>
      <w:sz w:val="22"/>
      <w:shd w:color="auto" w:fill="F1F3F5" w:val="clear"/>
    </w:rPr>
  </w:style>
  <w:style w:customStyle="1" w:styleId="DecValTok" w:type="character">
    <w:name w:val="DecValTok"/>
    <w:basedOn w:val="VerbatimChar"/>
    <w:rPr>
      <w:rFonts w:ascii="Consolas" w:hAnsi="Consolas"/>
      <w:color w:val="AD0000"/>
      <w:sz w:val="22"/>
      <w:shd w:color="auto" w:fill="F1F3F5" w:val="clear"/>
    </w:rPr>
  </w:style>
  <w:style w:customStyle="1" w:styleId="BaseNTok" w:type="character">
    <w:name w:val="BaseNTok"/>
    <w:basedOn w:val="VerbatimChar"/>
    <w:rPr>
      <w:rFonts w:ascii="Consolas" w:hAnsi="Consolas"/>
      <w:color w:val="AD0000"/>
      <w:sz w:val="22"/>
      <w:shd w:color="auto" w:fill="F1F3F5" w:val="clear"/>
    </w:rPr>
  </w:style>
  <w:style w:customStyle="1" w:styleId="FloatTok" w:type="character">
    <w:name w:val="FloatTok"/>
    <w:basedOn w:val="VerbatimChar"/>
    <w:rPr>
      <w:rFonts w:ascii="Consolas" w:hAnsi="Consolas"/>
      <w:color w:val="AD0000"/>
      <w:sz w:val="22"/>
      <w:shd w:color="auto" w:fill="F1F3F5" w:val="clear"/>
    </w:rPr>
  </w:style>
  <w:style w:customStyle="1" w:styleId="ConstantTok" w:type="character">
    <w:name w:val="ConstantTok"/>
    <w:basedOn w:val="VerbatimChar"/>
    <w:rPr>
      <w:rFonts w:ascii="Consolas" w:hAnsi="Consolas"/>
      <w:color w:val="8F5902"/>
      <w:sz w:val="22"/>
      <w:shd w:color="auto" w:fill="F1F3F5" w:val="clear"/>
    </w:rPr>
  </w:style>
  <w:style w:customStyle="1" w:styleId="CharTok" w:type="character">
    <w:name w:val="CharTok"/>
    <w:basedOn w:val="VerbatimChar"/>
    <w:rPr>
      <w:rFonts w:ascii="Consolas" w:hAnsi="Consolas"/>
      <w:color w:val="20794D"/>
      <w:sz w:val="22"/>
      <w:shd w:color="auto" w:fill="F1F3F5" w:val="clear"/>
    </w:rPr>
  </w:style>
  <w:style w:customStyle="1" w:styleId="SpecialCharTok" w:type="character">
    <w:name w:val="SpecialCharTok"/>
    <w:basedOn w:val="VerbatimChar"/>
    <w:rPr>
      <w:rFonts w:ascii="Consolas" w:hAnsi="Consolas"/>
      <w:color w:val="5E5E5E"/>
      <w:sz w:val="22"/>
      <w:shd w:color="auto" w:fill="F1F3F5" w:val="clear"/>
    </w:rPr>
  </w:style>
  <w:style w:customStyle="1" w:styleId="StringTok" w:type="character">
    <w:name w:val="StringTok"/>
    <w:basedOn w:val="VerbatimChar"/>
    <w:rPr>
      <w:rFonts w:ascii="Consolas" w:hAnsi="Consolas"/>
      <w:color w:val="20794D"/>
      <w:sz w:val="22"/>
      <w:shd w:color="auto" w:fill="F1F3F5" w:val="clear"/>
    </w:rPr>
  </w:style>
  <w:style w:customStyle="1" w:styleId="VerbatimStringTok" w:type="character">
    <w:name w:val="VerbatimStringTok"/>
    <w:basedOn w:val="VerbatimChar"/>
    <w:rPr>
      <w:rFonts w:ascii="Consolas" w:hAnsi="Consolas"/>
      <w:color w:val="20794D"/>
      <w:sz w:val="22"/>
      <w:shd w:color="auto" w:fill="F1F3F5" w:val="clear"/>
    </w:rPr>
  </w:style>
  <w:style w:customStyle="1" w:styleId="SpecialStringTok" w:type="character">
    <w:name w:val="SpecialStringTok"/>
    <w:basedOn w:val="VerbatimChar"/>
    <w:rPr>
      <w:rFonts w:ascii="Consolas" w:hAnsi="Consolas"/>
      <w:color w:val="20794D"/>
      <w:sz w:val="22"/>
      <w:shd w:color="auto" w:fill="F1F3F5" w:val="clear"/>
    </w:rPr>
  </w:style>
  <w:style w:customStyle="1" w:styleId="ImportTok" w:type="character">
    <w:name w:val="ImportTok"/>
    <w:basedOn w:val="VerbatimChar"/>
    <w:rPr>
      <w:rFonts w:ascii="Consolas" w:hAnsi="Consolas"/>
      <w:color w:val="00769E"/>
      <w:sz w:val="22"/>
      <w:shd w:color="auto" w:fill="F1F3F5" w:val="clear"/>
    </w:rPr>
  </w:style>
  <w:style w:customStyle="1" w:styleId="CommentTok" w:type="character">
    <w:name w:val="CommentTok"/>
    <w:basedOn w:val="VerbatimChar"/>
    <w:rPr>
      <w:rFonts w:ascii="Consolas" w:hAnsi="Consolas"/>
      <w:color w:val="5E5E5E"/>
      <w:sz w:val="22"/>
      <w:shd w:color="auto" w:fill="F1F3F5" w:val="clear"/>
    </w:rPr>
  </w:style>
  <w:style w:customStyle="1" w:styleId="DocumentationTok" w:type="character">
    <w:name w:val="DocumentationTok"/>
    <w:basedOn w:val="VerbatimChar"/>
    <w:rPr>
      <w:rFonts w:ascii="Consolas" w:hAnsi="Consolas"/>
      <w:i/>
      <w:color w:val="5E5E5E"/>
      <w:sz w:val="22"/>
      <w:shd w:color="auto" w:fill="F1F3F5" w:val="clear"/>
    </w:rPr>
  </w:style>
  <w:style w:customStyle="1" w:styleId="AnnotationTok" w:type="character">
    <w:name w:val="AnnotationTok"/>
    <w:basedOn w:val="VerbatimChar"/>
    <w:rPr>
      <w:rFonts w:ascii="Consolas" w:hAnsi="Consolas"/>
      <w:color w:val="5E5E5E"/>
      <w:sz w:val="22"/>
      <w:shd w:color="auto" w:fill="F1F3F5" w:val="clear"/>
    </w:rPr>
  </w:style>
  <w:style w:customStyle="1" w:styleId="CommentVarTok" w:type="character">
    <w:name w:val="CommentVarTok"/>
    <w:basedOn w:val="VerbatimChar"/>
    <w:rPr>
      <w:rFonts w:ascii="Consolas" w:hAnsi="Consolas"/>
      <w:i/>
      <w:color w:val="5E5E5E"/>
      <w:sz w:val="22"/>
      <w:shd w:color="auto" w:fill="F1F3F5" w:val="clear"/>
    </w:rPr>
  </w:style>
  <w:style w:customStyle="1" w:styleId="OtherTok" w:type="character">
    <w:name w:val="OtherTok"/>
    <w:basedOn w:val="VerbatimChar"/>
    <w:rPr>
      <w:rFonts w:ascii="Consolas" w:hAnsi="Consolas"/>
      <w:color w:val="003B4F"/>
      <w:sz w:val="22"/>
      <w:shd w:color="auto" w:fill="F1F3F5" w:val="clear"/>
    </w:rPr>
  </w:style>
  <w:style w:customStyle="1" w:styleId="FunctionTok" w:type="character">
    <w:name w:val="FunctionTok"/>
    <w:basedOn w:val="VerbatimChar"/>
    <w:rPr>
      <w:rFonts w:ascii="Consolas" w:hAnsi="Consolas"/>
      <w:color w:val="4758AB"/>
      <w:sz w:val="22"/>
      <w:shd w:color="auto" w:fill="F1F3F5" w:val="clear"/>
    </w:rPr>
  </w:style>
  <w:style w:customStyle="1" w:styleId="VariableTok" w:type="character">
    <w:name w:val="VariableTok"/>
    <w:basedOn w:val="VerbatimChar"/>
    <w:rPr>
      <w:rFonts w:ascii="Consolas" w:hAnsi="Consolas"/>
      <w:color w:val="111111"/>
      <w:sz w:val="22"/>
      <w:shd w:color="auto" w:fill="F1F3F5" w:val="clear"/>
    </w:rPr>
  </w:style>
  <w:style w:customStyle="1" w:styleId="ControlFlowTok" w:type="character">
    <w:name w:val="ControlFlowTok"/>
    <w:basedOn w:val="VerbatimChar"/>
    <w:rPr>
      <w:rFonts w:ascii="Consolas" w:hAnsi="Consolas"/>
      <w:color w:val="003B4F"/>
      <w:sz w:val="22"/>
      <w:shd w:color="auto" w:fill="F1F3F5" w:val="clear"/>
    </w:rPr>
  </w:style>
  <w:style w:customStyle="1" w:styleId="OperatorTok" w:type="character">
    <w:name w:val="OperatorTok"/>
    <w:basedOn w:val="VerbatimChar"/>
    <w:rPr>
      <w:rFonts w:ascii="Consolas" w:hAnsi="Consolas"/>
      <w:color w:val="5E5E5E"/>
      <w:sz w:val="22"/>
      <w:shd w:color="auto" w:fill="F1F3F5" w:val="clear"/>
    </w:rPr>
  </w:style>
  <w:style w:customStyle="1" w:styleId="BuiltInTok" w:type="character">
    <w:name w:val="BuiltInTok"/>
    <w:basedOn w:val="VerbatimChar"/>
    <w:rPr>
      <w:rFonts w:ascii="Consolas" w:hAnsi="Consolas"/>
      <w:color w:val="003B4F"/>
      <w:sz w:val="22"/>
      <w:shd w:color="auto" w:fill="F1F3F5" w:val="clear"/>
    </w:rPr>
  </w:style>
  <w:style w:customStyle="1" w:styleId="ExtensionTok" w:type="character">
    <w:name w:val="ExtensionTok"/>
    <w:basedOn w:val="VerbatimChar"/>
    <w:rPr>
      <w:rFonts w:ascii="Consolas" w:hAnsi="Consolas"/>
      <w:color w:val="003B4F"/>
      <w:sz w:val="22"/>
      <w:shd w:color="auto" w:fill="F1F3F5" w:val="clear"/>
    </w:rPr>
  </w:style>
  <w:style w:customStyle="1" w:styleId="PreprocessorTok" w:type="character">
    <w:name w:val="PreprocessorTok"/>
    <w:basedOn w:val="VerbatimChar"/>
    <w:rPr>
      <w:rFonts w:ascii="Consolas" w:hAnsi="Consolas"/>
      <w:color w:val="AD0000"/>
      <w:sz w:val="22"/>
      <w:shd w:color="auto" w:fill="F1F3F5" w:val="clear"/>
    </w:rPr>
  </w:style>
  <w:style w:customStyle="1" w:styleId="AttributeTok" w:type="character">
    <w:name w:val="AttributeTok"/>
    <w:basedOn w:val="VerbatimChar"/>
    <w:rPr>
      <w:rFonts w:ascii="Consolas" w:hAnsi="Consolas"/>
      <w:color w:val="657422"/>
      <w:sz w:val="22"/>
      <w:shd w:color="auto" w:fill="F1F3F5" w:val="clear"/>
    </w:rPr>
  </w:style>
  <w:style w:customStyle="1" w:styleId="RegionMarkerTok" w:type="character">
    <w:name w:val="RegionMarkerTok"/>
    <w:basedOn w:val="VerbatimChar"/>
    <w:rPr>
      <w:rFonts w:ascii="Consolas" w:hAnsi="Consolas"/>
      <w:color w:val="003B4F"/>
      <w:sz w:val="22"/>
      <w:shd w:color="auto" w:fill="F1F3F5" w:val="clear"/>
    </w:rPr>
  </w:style>
  <w:style w:customStyle="1" w:styleId="InformationTok" w:type="character">
    <w:name w:val="InformationTok"/>
    <w:basedOn w:val="VerbatimChar"/>
    <w:rPr>
      <w:rFonts w:ascii="Consolas" w:hAnsi="Consolas"/>
      <w:color w:val="5E5E5E"/>
      <w:sz w:val="22"/>
      <w:shd w:color="auto" w:fill="F1F3F5" w:val="clear"/>
    </w:rPr>
  </w:style>
  <w:style w:customStyle="1" w:styleId="WarningTok" w:type="character">
    <w:name w:val="WarningTok"/>
    <w:basedOn w:val="VerbatimChar"/>
    <w:rPr>
      <w:rFonts w:ascii="Consolas" w:hAnsi="Consolas"/>
      <w:i/>
      <w:color w:val="5E5E5E"/>
      <w:sz w:val="22"/>
      <w:shd w:color="auto" w:fill="F1F3F5" w:val="clear"/>
    </w:rPr>
  </w:style>
  <w:style w:customStyle="1" w:styleId="AlertTok" w:type="character">
    <w:name w:val="AlertTok"/>
    <w:basedOn w:val="VerbatimChar"/>
    <w:rPr>
      <w:rFonts w:ascii="Consolas" w:hAnsi="Consolas"/>
      <w:color w:val="AD0000"/>
      <w:sz w:val="22"/>
      <w:shd w:color="auto" w:fill="F1F3F5" w:val="clear"/>
    </w:rPr>
  </w:style>
  <w:style w:customStyle="1" w:styleId="ErrorTok" w:type="character">
    <w:name w:val="ErrorTok"/>
    <w:basedOn w:val="VerbatimChar"/>
    <w:rPr>
      <w:rFonts w:ascii="Consolas" w:hAnsi="Consolas"/>
      <w:color w:val="AD0000"/>
      <w:sz w:val="22"/>
      <w:shd w:color="auto" w:fill="F1F3F5" w:val="clear"/>
    </w:rPr>
  </w:style>
  <w:style w:customStyle="1" w:styleId="NormalTok" w:type="character">
    <w:name w:val="NormalTok"/>
    <w:basedOn w:val="VerbatimChar"/>
    <w:rPr>
      <w:rFonts w:ascii="Consolas" w:hAnsi="Consolas"/>
      <w:color w:val="003B4F"/>
      <w:sz w:val="22"/>
      <w:shd w:color="auto" w:fill="F1F3F5" w:val="clear"/>
    </w:rPr>
  </w:style>
  <w:style w:styleId="Sumrio2" w:type="paragraph">
    <w:name w:val="toc 2"/>
    <w:basedOn w:val="Normal"/>
    <w:next w:val="Normal"/>
    <w:autoRedefine/>
    <w:uiPriority w:val="39"/>
    <w:unhideWhenUsed/>
    <w:rsid w:val="00CA7DCC"/>
    <w:pPr>
      <w:spacing w:after="100"/>
      <w:ind w:left="240"/>
    </w:pPr>
    <w:rPr>
      <w:sz w:val="20"/>
    </w:rPr>
  </w:style>
  <w:style w:styleId="Sumrio3" w:type="paragraph">
    <w:name w:val="toc 3"/>
    <w:basedOn w:val="Normal"/>
    <w:next w:val="Normal"/>
    <w:autoRedefine/>
    <w:uiPriority w:val="39"/>
    <w:unhideWhenUsed/>
    <w:rsid w:val="00CA7DCC"/>
    <w:pPr>
      <w:spacing w:after="100"/>
      <w:ind w:left="480"/>
    </w:pPr>
    <w:rPr>
      <w:sz w:val="20"/>
    </w:rPr>
  </w:style>
  <w:style w:styleId="Corpodetexto2" w:type="paragraph">
    <w:name w:val="Body Text 2"/>
    <w:basedOn w:val="Normal"/>
    <w:link w:val="Corpodetexto2Char"/>
    <w:rsid w:val="008C6290"/>
    <w:pPr>
      <w:spacing w:after="120" w:line="480" w:lineRule="auto"/>
    </w:pPr>
  </w:style>
  <w:style w:customStyle="1" w:styleId="CorpodetextoChar" w:type="character">
    <w:name w:val="Corpo de texto Char"/>
    <w:basedOn w:val="Fontepargpadro"/>
    <w:link w:val="Corpodetexto"/>
    <w:rsid w:val="00CA7DCC"/>
    <w:rPr>
      <w:rFonts w:ascii="Lato" w:hAnsi="Lato"/>
      <w:sz w:val="20"/>
    </w:rPr>
  </w:style>
  <w:style w:customStyle="1" w:styleId="Corpodetexto2Char" w:type="character">
    <w:name w:val="Corpo de texto 2 Char"/>
    <w:basedOn w:val="Fontepargpadro"/>
    <w:link w:val="Corpodetexto2"/>
    <w:rsid w:val="008C6290"/>
    <w:rPr>
      <w:rFonts w:ascii="Lato" w:hAnsi="Lato"/>
    </w:rPr>
  </w:style>
  <w:style w:styleId="Corpodetexto3" w:type="paragraph">
    <w:name w:val="Body Text 3"/>
    <w:basedOn w:val="Normal"/>
    <w:link w:val="Corpodetexto3Char"/>
    <w:rsid w:val="008C6290"/>
    <w:pPr>
      <w:spacing w:after="120"/>
    </w:pPr>
    <w:rPr>
      <w:sz w:val="16"/>
      <w:szCs w:val="16"/>
    </w:rPr>
  </w:style>
  <w:style w:customStyle="1" w:styleId="Corpodetexto3Char" w:type="character">
    <w:name w:val="Corpo de texto 3 Char"/>
    <w:basedOn w:val="Fontepargpadro"/>
    <w:link w:val="Corpodetexto3"/>
    <w:rsid w:val="008C6290"/>
    <w:rPr>
      <w:rFonts w:ascii="Lato" w:hAnsi="Lato"/>
      <w:sz w:val="16"/>
      <w:szCs w:val="16"/>
    </w:rPr>
  </w:style>
  <w:style w:styleId="Sumrio4" w:type="paragraph">
    <w:name w:val="toc 4"/>
    <w:basedOn w:val="Normal"/>
    <w:next w:val="Normal"/>
    <w:autoRedefine/>
    <w:semiHidden/>
    <w:unhideWhenUsed/>
    <w:rsid w:val="008C6290"/>
    <w:pPr>
      <w:spacing w:after="100"/>
      <w:ind w:left="720"/>
    </w:pPr>
  </w:style>
  <w:style w:styleId="Sumrio5" w:type="paragraph">
    <w:name w:val="toc 5"/>
    <w:basedOn w:val="Normal"/>
    <w:next w:val="Normal"/>
    <w:autoRedefine/>
    <w:semiHidden/>
    <w:unhideWhenUsed/>
    <w:rsid w:val="008C6290"/>
    <w:pPr>
      <w:spacing w:after="100"/>
      <w:ind w:left="960"/>
    </w:pPr>
  </w:style>
  <w:style w:styleId="TextodoEspaoReservado" w:type="character">
    <w:name w:val="Placeholder Text"/>
    <w:basedOn w:val="Fontepargpadro"/>
    <w:semiHidden/>
    <w:rsid w:val="00446AE8"/>
    <w:rPr>
      <w:color w:val="808080"/>
    </w:rPr>
  </w:style>
  <w:style w:styleId="Sumrio1" w:type="paragraph">
    <w:name w:val="toc 1"/>
    <w:basedOn w:val="Normal"/>
    <w:next w:val="Normal"/>
    <w:autoRedefine/>
    <w:semiHidden/>
    <w:unhideWhenUsed/>
    <w:rsid w:val="00850BDF"/>
    <w:pPr>
      <w:spacing w:after="100"/>
    </w:pPr>
    <w:rPr>
      <w:sz w:val="20"/>
    </w:rPr>
  </w:style>
  <w:style w:styleId="Linkinteligente" w:type="character">
    <w:name w:val="Smart Link"/>
    <w:basedOn w:val="Fontepargpadro"/>
    <w:uiPriority w:val="99"/>
    <w:semiHidden/>
    <w:unhideWhenUsed/>
    <w:rsid w:val="00850BDF"/>
    <w:rPr>
      <w:color w:val="233262"/>
      <w:u w:val="single"/>
      <w:shd w:color="auto" w:fill="F3F2F1" w:val="clear"/>
    </w:rPr>
  </w:style>
  <w:style w:styleId="CitaoIntensa" w:type="paragraph">
    <w:name w:val="Intense Quote"/>
    <w:basedOn w:val="Normal"/>
    <w:next w:val="Normal"/>
    <w:link w:val="CitaoIntensaChar"/>
    <w:rsid w:val="00755E8A"/>
    <w:pPr>
      <w:pBdr>
        <w:top w:color="4F81BD" w:space="10" w:sz="4" w:themeColor="accent1" w:val="single"/>
        <w:bottom w:color="4F81BD" w:space="10" w:sz="4" w:themeColor="accent1" w:val="single"/>
      </w:pBdr>
      <w:spacing w:after="360" w:before="360"/>
      <w:ind w:left="864" w:right="864"/>
      <w:jc w:val="center"/>
    </w:pPr>
    <w:rPr>
      <w:i/>
      <w:iCs/>
      <w:color w:val="233262"/>
    </w:rPr>
  </w:style>
  <w:style w:customStyle="1" w:styleId="CitaoIntensaChar" w:type="character">
    <w:name w:val="Citação Intensa Char"/>
    <w:basedOn w:val="Fontepargpadro"/>
    <w:link w:val="CitaoIntensa"/>
    <w:rsid w:val="00755E8A"/>
    <w:rPr>
      <w:rFonts w:ascii="Lato" w:hAnsi="Lato"/>
      <w:i/>
      <w:iCs/>
      <w:color w:val="233262"/>
    </w:rPr>
  </w:style>
  <w:style w:styleId="Rodap" w:type="paragraph">
    <w:name w:val="footer"/>
    <w:basedOn w:val="Normal"/>
    <w:link w:val="RodapChar"/>
    <w:uiPriority w:val="99"/>
    <w:unhideWhenUsed/>
    <w:rsid w:val="00755E8A"/>
    <w:pPr>
      <w:tabs>
        <w:tab w:pos="4252" w:val="center"/>
        <w:tab w:pos="8504" w:val="right"/>
      </w:tabs>
      <w:spacing w:after="0"/>
    </w:pPr>
    <w:rPr>
      <w:sz w:val="16"/>
    </w:rPr>
  </w:style>
  <w:style w:customStyle="1" w:styleId="RodapChar" w:type="character">
    <w:name w:val="Rodapé Char"/>
    <w:basedOn w:val="Fontepargpadro"/>
    <w:link w:val="Rodap"/>
    <w:uiPriority w:val="99"/>
    <w:rsid w:val="00755E8A"/>
    <w:rPr>
      <w:rFonts w:ascii="Lato" w:hAnsi="Lato"/>
      <w:sz w:val="16"/>
    </w:rPr>
  </w:style>
  <w:style w:styleId="Meno" w:type="character">
    <w:name w:val="Mention"/>
    <w:basedOn w:val="Fontepargpadro"/>
    <w:uiPriority w:val="99"/>
    <w:semiHidden/>
    <w:unhideWhenUsed/>
    <w:rsid w:val="007517E5"/>
    <w:rPr>
      <w:color w:val="3E8399"/>
      <w:shd w:color="auto" w:fill="E1DFDD" w:val="clear"/>
    </w:rPr>
  </w:style>
  <w:style w:customStyle="1" w:styleId="ABJ" w:type="table">
    <w:name w:val="ABJ"/>
    <w:basedOn w:val="Tabelanormal"/>
    <w:uiPriority w:val="99"/>
    <w:rsid w:val="00CA339C"/>
    <w:pPr>
      <w:spacing w:after="0"/>
      <w:jc w:val="center"/>
    </w:pPr>
    <w:rPr>
      <w:sz w:val="20"/>
    </w:rPr>
    <w:tblPr>
      <w:tblStyleRowBandSize w:val="1"/>
      <w:tblBorders>
        <w:top w:color="auto" w:space="0" w:sz="4" w:val="single"/>
        <w:bottom w:color="auto" w:space="0" w:sz="4" w:val="single"/>
      </w:tblBorders>
    </w:tblPr>
    <w:tcPr>
      <w:vAlign w:val="center"/>
    </w:tcPr>
    <w:tblStylePr w:type="firstRow">
      <w:rPr>
        <w:rFonts w:ascii="Lato" w:hAnsi="Lato"/>
        <w:sz w:val="20"/>
      </w:rPr>
      <w:tblPr/>
      <w:tcPr>
        <w:tcBorders>
          <w:bottom w:color="auto" w:space="0" w:sz="4" w:val="single"/>
        </w:tcBorders>
        <w:shd w:color="auto" w:fill="D9D9D9" w:themeFill="background1" w:themeFillShade="D9" w:val="clear"/>
      </w:tcPr>
    </w:tblStylePr>
    <w:tblStylePr w:type="lastRow">
      <w:rPr>
        <w:rFonts w:ascii="Lato" w:hAnsi="Lato"/>
        <w:sz w:val="20"/>
      </w:rPr>
      <w:tblPr/>
      <w:tcPr>
        <w:tcBorders>
          <w:top w:color="auto" w:space="0" w:sz="4" w:val="single"/>
        </w:tcBorders>
      </w:tcPr>
    </w:tblStylePr>
    <w:tblStylePr w:type="band1Horz">
      <w:tblPr/>
      <w:tcPr>
        <w:shd w:color="auto" w:fill="EEEEEE" w:val="clear"/>
      </w:tcPr>
    </w:tblStylePr>
  </w:style>
  <w:style w:styleId="TabeladeGrade1Clara" w:type="table">
    <w:name w:val="Grid Table 1 Light"/>
    <w:basedOn w:val="Tabelanormal"/>
    <w:uiPriority w:val="99"/>
    <w:rsid w:val="00CA339C"/>
    <w:pPr>
      <w:spacing w:after="0"/>
      <w:jc w:val="center"/>
    </w:pPr>
    <w:rPr>
      <w:sz w:val="20"/>
    </w:rPr>
    <w:tblPr>
      <w:tblStyleRowBandSize w:val="1"/>
      <w:tblBorders>
        <w:top w:color="auto" w:space="0" w:sz="4" w:val="single"/>
        <w:bottom w:color="auto" w:space="0" w:sz="4" w:val="single"/>
      </w:tblBorders>
    </w:tblPr>
    <w:tcPr>
      <w:vAlign w:val="center"/>
    </w:tcPr>
    <w:tblStylePr w:type="firstRow">
      <w:rPr>
        <w:rFonts w:ascii="Lato" w:hAnsi="Lato"/>
        <w:sz w:val="20"/>
      </w:rPr>
      <w:tblPr/>
      <w:tcPr>
        <w:tcBorders>
          <w:bottom w:color="auto" w:space="0" w:sz="4" w:val="single"/>
        </w:tcBorders>
        <w:shd w:color="auto" w:fill="D9D9D9" w:themeFill="background1" w:themeFillShade="D9" w:val="clear"/>
      </w:tcPr>
    </w:tblStylePr>
    <w:tblStylePr w:type="lastRow">
      <w:rPr>
        <w:rFonts w:ascii="Lato" w:hAnsi="Lato"/>
        <w:sz w:val="20"/>
      </w:rPr>
      <w:tblPr/>
      <w:tcPr>
        <w:tcBorders>
          <w:top w:color="auto" w:space="0" w:sz="4" w:val="single"/>
        </w:tcBorders>
      </w:tcPr>
    </w:tblStylePr>
    <w:tblStylePr w:type="band1Horz">
      <w:tblPr/>
      <w:tcPr>
        <w:shd w:color="auto" w:fill="EEEEEE" w:val="clear"/>
      </w:tcPr>
    </w:tblStylePr>
  </w:style>
  <w:style w:styleId="Tabelacomgrade" w:type="table">
    <w:name w:val="Table Grid"/>
    <w:basedOn w:val="Tabelanormal"/>
    <w:rsid w:val="00CA339C"/>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Cabealho" w:type="paragraph">
    <w:name w:val="header"/>
    <w:basedOn w:val="Normal"/>
    <w:link w:val="CabealhoChar"/>
    <w:unhideWhenUsed/>
    <w:rsid w:val="00C87C85"/>
    <w:pPr>
      <w:tabs>
        <w:tab w:pos="4252" w:val="center"/>
        <w:tab w:pos="8504" w:val="right"/>
      </w:tabs>
      <w:spacing w:after="0"/>
    </w:pPr>
    <w:rPr>
      <w:i/>
      <w:sz w:val="16"/>
    </w:rPr>
  </w:style>
  <w:style w:customStyle="1" w:styleId="CabealhoChar" w:type="character">
    <w:name w:val="Cabeçalho Char"/>
    <w:basedOn w:val="Fontepargpadro"/>
    <w:link w:val="Cabealho"/>
    <w:rsid w:val="00C87C85"/>
    <w:rPr>
      <w:rFonts w:ascii="Lato" w:hAnsi="Lato"/>
      <w:i/>
      <w:sz w:val="16"/>
    </w:rPr>
  </w:style>
  <w:style w:styleId="MenoPendente" w:type="character">
    <w:name w:val="Unresolved Mention"/>
    <w:basedOn w:val="Fontepargpadro"/>
    <w:uiPriority w:val="99"/>
    <w:semiHidden/>
    <w:unhideWhenUsed/>
    <w:rsid w:val="00C87C85"/>
    <w:rPr>
      <w:color w:val="605E5C"/>
      <w:shd w:color="auto" w:fill="E1DFDD" w:val="cle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445983">
      <w:bodyDiv w:val="1"/>
      <w:marLeft w:val="0"/>
      <w:marRight w:val="0"/>
      <w:marTop w:val="0"/>
      <w:marBottom w:val="0"/>
      <w:divBdr>
        <w:top w:val="none" w:sz="0" w:space="0" w:color="auto"/>
        <w:left w:val="none" w:sz="0" w:space="0" w:color="auto"/>
        <w:bottom w:val="none" w:sz="0" w:space="0" w:color="auto"/>
        <w:right w:val="none" w:sz="0" w:space="0" w:color="auto"/>
      </w:divBdr>
    </w:div>
    <w:div w:id="1732843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Id="rId15" Target="footer4.xml" Type="http://schemas.openxmlformats.org/officeDocument/2006/relationships/footer" /><Relationship Type="http://schemas.openxmlformats.org/officeDocument/2006/relationships/image" Id="rId27" Target="media/rId27.png" /><Relationship Type="http://schemas.openxmlformats.org/officeDocument/2006/relationships/image" Id="rId77" Target="media/rId77.png" /><Relationship Type="http://schemas.openxmlformats.org/officeDocument/2006/relationships/image" Id="rId81" Target="media/rId81.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47" Target="media/rId47.png" /><Relationship Type="http://schemas.openxmlformats.org/officeDocument/2006/relationships/image" Id="rId51" Target="media/rId51.png" /><Relationship Type="http://schemas.openxmlformats.org/officeDocument/2006/relationships/image" Id="rId55" Target="media/rId55.png" /><Relationship Type="http://schemas.openxmlformats.org/officeDocument/2006/relationships/image" Id="rId59" Target="media/rId59.png" /><Relationship Type="http://schemas.openxmlformats.org/officeDocument/2006/relationships/image" Id="rId63" Target="media/rId63.png" /><Relationship Type="http://schemas.openxmlformats.org/officeDocument/2006/relationships/image" Id="rId86" Target="media/rId86.png" /><Relationship Type="http://schemas.openxmlformats.org/officeDocument/2006/relationships/hyperlink" Id="rId25" Target="https://dados.gov.br/dados/conjuntos-dados/atendimentos-de-consumidores-nos-procons-sindec1" TargetMode="External" /><Relationship Type="http://schemas.openxmlformats.org/officeDocument/2006/relationships/hyperlink" Id="rId26" Target="https://esaj.tjsp.jus.br/cjpg/" TargetMode="External" /><Relationship Type="http://schemas.openxmlformats.org/officeDocument/2006/relationships/hyperlink" Id="rId31" Target="https://github.com/ipretel/consumidorTJSP" TargetMode="External" /><Relationship Type="http://schemas.openxmlformats.org/officeDocument/2006/relationships/hyperlink" Id="rId24" Target="https://www.consumidor.gov.br/pages/dadosabertos/externo/" TargetMode="External" /></Relationships>
</file>

<file path=word/_rels/footer2.xml.rels><?xml version="1.0" encoding="UTF-8" standalone="yes"?>
<Relationships xmlns="http://schemas.openxmlformats.org/package/2006/relationships"><Relationship Id="rId1" Type="http://schemas.openxmlformats.org/officeDocument/2006/relationships/hyperlink" Target="https://abj.org.br" TargetMode="External"/></Relationships>
</file>

<file path=word/_rels/footnotes.xml.rels><?xml version="1.0" encoding="UTF-8"?><Relationships xmlns="http://schemas.openxmlformats.org/package/2006/relationships"><Relationship Type="http://schemas.openxmlformats.org/officeDocument/2006/relationships/hyperlink" Id="rId25" Target="https://dados.gov.br/dados/conjuntos-dados/atendimentos-de-consumidores-nos-procons-sindec1" TargetMode="External" /><Relationship Type="http://schemas.openxmlformats.org/officeDocument/2006/relationships/hyperlink" Id="rId26" Target="https://esaj.tjsp.jus.br/cjpg/" TargetMode="External" /><Relationship Type="http://schemas.openxmlformats.org/officeDocument/2006/relationships/hyperlink" Id="rId31" Target="https://github.com/ipretel/consumidorTJSP" TargetMode="External" /><Relationship Type="http://schemas.openxmlformats.org/officeDocument/2006/relationships/hyperlink" Id="rId24" Target="https://www.consumidor.gov.br/pages/dadosabertos/externo/" TargetMode="External"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BJ">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5</Pages>
  <Words>506</Words>
  <Characters>2736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dc:title>
  <dc:creator/>
  <cp:keywords/>
  <dcterms:created xsi:type="dcterms:W3CDTF">2023-11-02T13:10:48Z</dcterms:created>
  <dcterms:modified xsi:type="dcterms:W3CDTF">2023-11-02T13:10:48Z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header-includes">
    <vt:lpwstr/>
  </property>
  <property fmtid="{D5CDD505-2E9C-101B-9397-08002B2CF9AE}" pid="4" name="include-after">
    <vt:lpwstr/>
  </property>
  <property fmtid="{D5CDD505-2E9C-101B-9397-08002B2CF9AE}" pid="5" name="include-before">
    <vt:lpwstr/>
  </property>
  <property fmtid="{D5CDD505-2E9C-101B-9397-08002B2CF9AE}" pid="6" name="knitr">
    <vt:lpwstr/>
  </property>
  <property fmtid="{D5CDD505-2E9C-101B-9397-08002B2CF9AE}" pid="7" name="labels">
    <vt:lpwstr/>
  </property>
  <property fmtid="{D5CDD505-2E9C-101B-9397-08002B2CF9AE}" pid="8" name="toc-title">
    <vt:lpwstr>Table of contents</vt:lpwstr>
  </property>
</Properties>
</file>